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91314" w14:textId="77777777" w:rsidR="001F1F1F" w:rsidRPr="00312C5D" w:rsidRDefault="00687E85" w:rsidP="001F1F1F">
      <w:pPr>
        <w:rPr>
          <w:rFonts w:asciiTheme="minorHAnsi" w:hAnsiTheme="minorHAnsi" w:cs="Calibri"/>
          <w:noProof/>
        </w:rPr>
      </w:pPr>
      <w:r w:rsidRPr="00B27BC7">
        <w:rPr>
          <w:noProof/>
          <w:lang w:val="pt-PT" w:eastAsia="pt-PT"/>
        </w:rPr>
        <w:drawing>
          <wp:inline distT="0" distB="0" distL="0" distR="0" wp14:anchorId="742AE47C" wp14:editId="2C8C6222">
            <wp:extent cx="5684520" cy="275671"/>
            <wp:effectExtent l="0" t="0" r="0" b="0"/>
            <wp:docPr id="2" name="Picture 1" descr="O:\COMET\PRODUCTION\# CVI\LOGO-new\FINAL ORIGINALS\FRA-LOGO-2.0-BANNER-FINAL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ET\PRODUCTION\# CVI\LOGO-new\FINAL ORIGINALS\FRA-LOGO-2.0-BANNER-FINAL_CMYK.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4520" cy="275671"/>
                    </a:xfrm>
                    <a:prstGeom prst="rect">
                      <a:avLst/>
                    </a:prstGeom>
                    <a:noFill/>
                    <a:ln>
                      <a:noFill/>
                    </a:ln>
                  </pic:spPr>
                </pic:pic>
              </a:graphicData>
            </a:graphic>
          </wp:inline>
        </w:drawing>
      </w:r>
      <w:r w:rsidR="008E4A1C" w:rsidRPr="00312C5D">
        <w:rPr>
          <w:rFonts w:asciiTheme="minorHAnsi" w:hAnsiTheme="minorHAnsi" w:cs="Calibri"/>
          <w:noProof/>
        </w:rPr>
        <w:br w:type="textWrapping" w:clear="all"/>
      </w:r>
    </w:p>
    <w:p w14:paraId="76BDD4C8" w14:textId="3045A731" w:rsidR="001F1F1F" w:rsidRPr="00312C5D" w:rsidRDefault="00687E85" w:rsidP="001F1F1F">
      <w:pPr>
        <w:pStyle w:val="FRAHeading2"/>
        <w:numPr>
          <w:ilvl w:val="0"/>
          <w:numId w:val="0"/>
        </w:numPr>
        <w:tabs>
          <w:tab w:val="left" w:pos="0"/>
        </w:tabs>
        <w:spacing w:before="0" w:after="0"/>
        <w:rPr>
          <w:rFonts w:asciiTheme="minorHAnsi" w:hAnsiTheme="minorHAnsi" w:cs="Calibri"/>
          <w:noProof/>
          <w:sz w:val="22"/>
          <w:szCs w:val="22"/>
        </w:rPr>
      </w:pPr>
      <w:r>
        <w:rPr>
          <w:rFonts w:asciiTheme="minorHAnsi" w:hAnsiTheme="minorHAnsi" w:cs="Calibri"/>
          <w:noProof/>
          <w:sz w:val="22"/>
          <w:szCs w:val="22"/>
        </w:rPr>
        <w:t xml:space="preserve">MEMO </w:t>
      </w:r>
    </w:p>
    <w:p w14:paraId="6C8ED8C8" w14:textId="77777777" w:rsidR="00A14A9C" w:rsidRDefault="00A14A9C" w:rsidP="00900BE4">
      <w:pPr>
        <w:pStyle w:val="FRABodyText"/>
        <w:numPr>
          <w:ilvl w:val="0"/>
          <w:numId w:val="0"/>
        </w:numPr>
        <w:jc w:val="center"/>
        <w:rPr>
          <w:rFonts w:asciiTheme="minorHAnsi" w:hAnsiTheme="minorHAnsi"/>
          <w:b/>
          <w:noProof/>
          <w:sz w:val="28"/>
          <w:szCs w:val="28"/>
          <w:lang w:eastAsia="zh-CN" w:bidi="ar-SA"/>
        </w:rPr>
      </w:pPr>
    </w:p>
    <w:p w14:paraId="66B37B0B" w14:textId="3F1F567C" w:rsidR="008E4A1C" w:rsidRPr="00312C5D" w:rsidRDefault="00A14A9C" w:rsidP="00900BE4">
      <w:pPr>
        <w:pStyle w:val="FRABodyText"/>
        <w:numPr>
          <w:ilvl w:val="0"/>
          <w:numId w:val="0"/>
        </w:numPr>
        <w:jc w:val="center"/>
        <w:rPr>
          <w:rFonts w:asciiTheme="minorHAnsi" w:hAnsiTheme="minorHAnsi"/>
          <w:b/>
          <w:noProof/>
          <w:sz w:val="28"/>
          <w:szCs w:val="28"/>
          <w:lang w:eastAsia="zh-CN" w:bidi="ar-SA"/>
        </w:rPr>
      </w:pPr>
      <w:bookmarkStart w:id="0" w:name="_GoBack"/>
      <w:r>
        <w:rPr>
          <w:rFonts w:asciiTheme="minorHAnsi" w:hAnsiTheme="minorHAnsi"/>
          <w:b/>
          <w:noProof/>
          <w:sz w:val="28"/>
          <w:szCs w:val="28"/>
          <w:lang w:eastAsia="zh-CN" w:bidi="ar-SA"/>
        </w:rPr>
        <w:t>S</w:t>
      </w:r>
      <w:r w:rsidR="00EC1AD7" w:rsidRPr="00EC1AD7">
        <w:rPr>
          <w:rFonts w:asciiTheme="minorHAnsi" w:hAnsiTheme="minorHAnsi"/>
          <w:b/>
          <w:noProof/>
          <w:sz w:val="28"/>
          <w:szCs w:val="28"/>
          <w:lang w:eastAsia="zh-CN" w:bidi="ar-SA"/>
        </w:rPr>
        <w:t xml:space="preserve">urveillance by intelligence services: </w:t>
      </w:r>
      <w:r w:rsidR="00EC1AD7">
        <w:rPr>
          <w:rFonts w:asciiTheme="minorHAnsi" w:hAnsiTheme="minorHAnsi"/>
          <w:b/>
          <w:noProof/>
          <w:sz w:val="28"/>
          <w:szCs w:val="28"/>
          <w:lang w:eastAsia="zh-CN" w:bidi="ar-SA"/>
        </w:rPr>
        <w:br/>
      </w:r>
      <w:r w:rsidR="00EC1AD7" w:rsidRPr="00EC1AD7">
        <w:rPr>
          <w:rFonts w:asciiTheme="minorHAnsi" w:hAnsiTheme="minorHAnsi"/>
          <w:b/>
          <w:noProof/>
          <w:sz w:val="28"/>
          <w:szCs w:val="28"/>
          <w:lang w:eastAsia="zh-CN" w:bidi="ar-SA"/>
        </w:rPr>
        <w:t xml:space="preserve">fundamental rights safeguards and remedies in the EU </w:t>
      </w:r>
    </w:p>
    <w:bookmarkEnd w:id="0"/>
    <w:p w14:paraId="0E844BE9" w14:textId="77777777" w:rsidR="001F1F1F" w:rsidRPr="00312C5D" w:rsidRDefault="001F1F1F" w:rsidP="00B56F98">
      <w:pPr>
        <w:spacing w:before="120"/>
        <w:jc w:val="both"/>
        <w:rPr>
          <w:rFonts w:asciiTheme="minorHAnsi" w:hAnsiTheme="minorHAnsi" w:cs="Calibri"/>
          <w:b/>
          <w:noProof/>
          <w:sz w:val="22"/>
          <w:szCs w:val="22"/>
        </w:rPr>
      </w:pPr>
      <w:r w:rsidRPr="00312C5D">
        <w:rPr>
          <w:rFonts w:asciiTheme="minorHAnsi" w:hAnsiTheme="minorHAnsi" w:cs="Calibri"/>
          <w:b/>
          <w:noProof/>
          <w:sz w:val="22"/>
          <w:szCs w:val="22"/>
        </w:rPr>
        <w:t>Why was th</w:t>
      </w:r>
      <w:r w:rsidR="00B56F98">
        <w:rPr>
          <w:rFonts w:asciiTheme="minorHAnsi" w:hAnsiTheme="minorHAnsi" w:cs="Calibri"/>
          <w:b/>
          <w:noProof/>
          <w:sz w:val="22"/>
          <w:szCs w:val="22"/>
        </w:rPr>
        <w:t xml:space="preserve">is work </w:t>
      </w:r>
      <w:r w:rsidRPr="00312C5D">
        <w:rPr>
          <w:rFonts w:asciiTheme="minorHAnsi" w:hAnsiTheme="minorHAnsi" w:cs="Calibri"/>
          <w:b/>
          <w:noProof/>
          <w:sz w:val="22"/>
          <w:szCs w:val="22"/>
        </w:rPr>
        <w:t>carried out?</w:t>
      </w:r>
    </w:p>
    <w:p w14:paraId="0460E73D" w14:textId="45D7B1D2" w:rsidR="00B56F98" w:rsidRDefault="00B56F98" w:rsidP="0085166E">
      <w:pPr>
        <w:spacing w:before="120" w:after="120"/>
        <w:jc w:val="both"/>
        <w:rPr>
          <w:rFonts w:asciiTheme="minorHAnsi" w:hAnsiTheme="minorHAnsi" w:cs="Calibri"/>
          <w:noProof/>
          <w:sz w:val="22"/>
          <w:szCs w:val="22"/>
        </w:rPr>
      </w:pPr>
      <w:r w:rsidRPr="00B56F98">
        <w:rPr>
          <w:rFonts w:asciiTheme="minorHAnsi" w:hAnsiTheme="minorHAnsi" w:cs="Calibri"/>
          <w:noProof/>
          <w:sz w:val="22"/>
          <w:szCs w:val="22"/>
        </w:rPr>
        <w:t>In June 2013, Edward Snowden</w:t>
      </w:r>
      <w:r>
        <w:rPr>
          <w:rFonts w:asciiTheme="minorHAnsi" w:hAnsiTheme="minorHAnsi" w:cs="Calibri"/>
          <w:noProof/>
          <w:sz w:val="22"/>
          <w:szCs w:val="22"/>
        </w:rPr>
        <w:t>,</w:t>
      </w:r>
      <w:r w:rsidRPr="00B56F98">
        <w:rPr>
          <w:rFonts w:asciiTheme="minorHAnsi" w:hAnsiTheme="minorHAnsi" w:cs="Calibri"/>
          <w:noProof/>
          <w:sz w:val="22"/>
          <w:szCs w:val="22"/>
        </w:rPr>
        <w:t xml:space="preserve"> a contractor working at the US National Security Agency (NSA)</w:t>
      </w:r>
      <w:r>
        <w:rPr>
          <w:rFonts w:asciiTheme="minorHAnsi" w:hAnsiTheme="minorHAnsi" w:cs="Calibri"/>
          <w:noProof/>
          <w:sz w:val="22"/>
          <w:szCs w:val="22"/>
        </w:rPr>
        <w:t xml:space="preserve">, </w:t>
      </w:r>
      <w:r w:rsidRPr="00B56F98">
        <w:rPr>
          <w:rFonts w:asciiTheme="minorHAnsi" w:hAnsiTheme="minorHAnsi" w:cs="Calibri"/>
          <w:noProof/>
          <w:sz w:val="22"/>
          <w:szCs w:val="22"/>
        </w:rPr>
        <w:t xml:space="preserve">revealed to the media information about </w:t>
      </w:r>
      <w:r w:rsidR="00EC1AD7">
        <w:rPr>
          <w:rFonts w:asciiTheme="minorHAnsi" w:hAnsiTheme="minorHAnsi" w:cs="Calibri"/>
          <w:noProof/>
          <w:sz w:val="22"/>
          <w:szCs w:val="22"/>
        </w:rPr>
        <w:t xml:space="preserve">extensive global </w:t>
      </w:r>
      <w:r w:rsidRPr="00B56F98">
        <w:rPr>
          <w:rFonts w:asciiTheme="minorHAnsi" w:hAnsiTheme="minorHAnsi" w:cs="Calibri"/>
          <w:noProof/>
          <w:sz w:val="22"/>
          <w:szCs w:val="22"/>
        </w:rPr>
        <w:t xml:space="preserve">surveillance programmes </w:t>
      </w:r>
      <w:r w:rsidR="00EC1AD7">
        <w:rPr>
          <w:rFonts w:asciiTheme="minorHAnsi" w:hAnsiTheme="minorHAnsi" w:cs="Calibri"/>
          <w:noProof/>
          <w:sz w:val="22"/>
          <w:szCs w:val="22"/>
        </w:rPr>
        <w:t>by intelligence services</w:t>
      </w:r>
      <w:r w:rsidRPr="00B56F98">
        <w:rPr>
          <w:rFonts w:asciiTheme="minorHAnsi" w:hAnsiTheme="minorHAnsi" w:cs="Calibri"/>
          <w:noProof/>
          <w:sz w:val="22"/>
          <w:szCs w:val="22"/>
        </w:rPr>
        <w:t>. The EU institutions reacted promptly with political declarations and resolutions. In particular, the European Parliament decided to conduct an in-depth inquiry into the NSA surveillance programme. The inquiry’s results fed into the European Parliament Resolution of 12 March 2014</w:t>
      </w:r>
      <w:r w:rsidR="00EC1AD7">
        <w:rPr>
          <w:rFonts w:asciiTheme="minorHAnsi" w:hAnsiTheme="minorHAnsi" w:cs="Calibri"/>
          <w:noProof/>
          <w:sz w:val="22"/>
          <w:szCs w:val="22"/>
        </w:rPr>
        <w:t xml:space="preserve">. Part of the Resolution </w:t>
      </w:r>
      <w:r w:rsidRPr="00B56F98">
        <w:rPr>
          <w:rFonts w:asciiTheme="minorHAnsi" w:hAnsiTheme="minorHAnsi" w:cs="Calibri"/>
          <w:noProof/>
          <w:sz w:val="22"/>
          <w:szCs w:val="22"/>
        </w:rPr>
        <w:t xml:space="preserve">called on FRA to </w:t>
      </w:r>
      <w:r w:rsidR="00EE44B1" w:rsidRPr="00612CD1">
        <w:rPr>
          <w:rFonts w:asciiTheme="minorHAnsi" w:hAnsiTheme="minorHAnsi" w:cs="Calibri"/>
          <w:noProof/>
          <w:sz w:val="22"/>
          <w:szCs w:val="22"/>
        </w:rPr>
        <w:t xml:space="preserve">conduct research </w:t>
      </w:r>
      <w:r w:rsidR="009D15BB">
        <w:rPr>
          <w:rFonts w:asciiTheme="minorHAnsi" w:hAnsiTheme="minorHAnsi" w:cs="Calibri"/>
          <w:noProof/>
          <w:sz w:val="22"/>
          <w:szCs w:val="22"/>
        </w:rPr>
        <w:t>into</w:t>
      </w:r>
      <w:r w:rsidR="00EE44B1" w:rsidRPr="00612CD1">
        <w:rPr>
          <w:rFonts w:asciiTheme="minorHAnsi" w:hAnsiTheme="minorHAnsi" w:cs="Calibri"/>
          <w:noProof/>
          <w:sz w:val="22"/>
          <w:szCs w:val="22"/>
        </w:rPr>
        <w:t xml:space="preserve"> the protection of fundamental rights in the context of large-scale surveillance</w:t>
      </w:r>
      <w:r w:rsidRPr="00B56F98">
        <w:rPr>
          <w:rFonts w:asciiTheme="minorHAnsi" w:hAnsiTheme="minorHAnsi" w:cs="Calibri"/>
          <w:noProof/>
          <w:sz w:val="22"/>
          <w:szCs w:val="22"/>
        </w:rPr>
        <w:t>.</w:t>
      </w:r>
      <w:r w:rsidR="0085166E">
        <w:rPr>
          <w:rFonts w:asciiTheme="minorHAnsi" w:hAnsiTheme="minorHAnsi" w:cs="Calibri"/>
          <w:noProof/>
          <w:sz w:val="22"/>
          <w:szCs w:val="22"/>
        </w:rPr>
        <w:t xml:space="preserve"> </w:t>
      </w:r>
      <w:r w:rsidR="0085166E" w:rsidRPr="0085166E">
        <w:rPr>
          <w:rFonts w:asciiTheme="minorHAnsi" w:hAnsiTheme="minorHAnsi" w:cs="Calibri"/>
          <w:noProof/>
          <w:sz w:val="22"/>
          <w:szCs w:val="22"/>
        </w:rPr>
        <w:t xml:space="preserve">Following </w:t>
      </w:r>
      <w:r w:rsidR="0085166E">
        <w:rPr>
          <w:rFonts w:asciiTheme="minorHAnsi" w:hAnsiTheme="minorHAnsi" w:cs="Calibri"/>
          <w:noProof/>
          <w:sz w:val="22"/>
          <w:szCs w:val="22"/>
        </w:rPr>
        <w:t>the r</w:t>
      </w:r>
      <w:r w:rsidR="0085166E" w:rsidRPr="0085166E">
        <w:rPr>
          <w:rFonts w:asciiTheme="minorHAnsi" w:hAnsiTheme="minorHAnsi" w:cs="Calibri"/>
          <w:noProof/>
          <w:sz w:val="22"/>
          <w:szCs w:val="22"/>
        </w:rPr>
        <w:t>esolution, the Parliament requested FRA to conduct research into the protection of fundamental rights in the context of large-scale surveillance.</w:t>
      </w:r>
    </w:p>
    <w:p w14:paraId="1493CE7A" w14:textId="7E0E1C34" w:rsidR="00B56F98" w:rsidRDefault="00B56F98" w:rsidP="00A836BD">
      <w:pPr>
        <w:spacing w:before="120" w:after="120"/>
        <w:jc w:val="both"/>
        <w:rPr>
          <w:rFonts w:asciiTheme="minorHAnsi" w:hAnsiTheme="minorHAnsi" w:cs="Calibri"/>
          <w:noProof/>
          <w:sz w:val="22"/>
          <w:szCs w:val="22"/>
        </w:rPr>
      </w:pPr>
      <w:r w:rsidRPr="00B56F98">
        <w:rPr>
          <w:rFonts w:asciiTheme="minorHAnsi" w:hAnsiTheme="minorHAnsi" w:cs="Calibri"/>
          <w:noProof/>
          <w:sz w:val="22"/>
          <w:szCs w:val="22"/>
        </w:rPr>
        <w:t>Since then, subsequent terrorist attacks have once again thrown the spotlight on the</w:t>
      </w:r>
      <w:r>
        <w:rPr>
          <w:rFonts w:asciiTheme="minorHAnsi" w:hAnsiTheme="minorHAnsi" w:cs="Calibri"/>
          <w:noProof/>
          <w:sz w:val="22"/>
          <w:szCs w:val="22"/>
        </w:rPr>
        <w:t xml:space="preserve"> </w:t>
      </w:r>
      <w:r w:rsidRPr="00B56F98">
        <w:rPr>
          <w:rFonts w:asciiTheme="minorHAnsi" w:hAnsiTheme="minorHAnsi" w:cs="Calibri"/>
          <w:noProof/>
          <w:sz w:val="22"/>
          <w:szCs w:val="22"/>
        </w:rPr>
        <w:t xml:space="preserve">question of </w:t>
      </w:r>
      <w:r w:rsidR="00EC1AD7">
        <w:rPr>
          <w:rFonts w:asciiTheme="minorHAnsi" w:hAnsiTheme="minorHAnsi" w:cs="Calibri"/>
          <w:noProof/>
          <w:sz w:val="22"/>
          <w:szCs w:val="22"/>
        </w:rPr>
        <w:t xml:space="preserve">finding the right balance between </w:t>
      </w:r>
      <w:r w:rsidRPr="00B56F98">
        <w:rPr>
          <w:rFonts w:asciiTheme="minorHAnsi" w:hAnsiTheme="minorHAnsi" w:cs="Calibri"/>
          <w:noProof/>
          <w:sz w:val="22"/>
          <w:szCs w:val="22"/>
        </w:rPr>
        <w:t>safeguarding fundamental rights while also</w:t>
      </w:r>
      <w:r>
        <w:rPr>
          <w:rFonts w:asciiTheme="minorHAnsi" w:hAnsiTheme="minorHAnsi" w:cs="Calibri"/>
          <w:noProof/>
          <w:sz w:val="22"/>
          <w:szCs w:val="22"/>
        </w:rPr>
        <w:t xml:space="preserve"> </w:t>
      </w:r>
      <w:r w:rsidRPr="00B56F98">
        <w:rPr>
          <w:rFonts w:asciiTheme="minorHAnsi" w:hAnsiTheme="minorHAnsi" w:cs="Calibri"/>
          <w:noProof/>
          <w:sz w:val="22"/>
          <w:szCs w:val="22"/>
        </w:rPr>
        <w:t xml:space="preserve">maintaining security </w:t>
      </w:r>
      <w:r w:rsidR="00B12C0B">
        <w:rPr>
          <w:rFonts w:asciiTheme="minorHAnsi" w:hAnsiTheme="minorHAnsi" w:cs="Calibri"/>
          <w:noProof/>
          <w:sz w:val="22"/>
          <w:szCs w:val="22"/>
        </w:rPr>
        <w:t>through</w:t>
      </w:r>
      <w:r w:rsidRPr="00B56F98">
        <w:rPr>
          <w:rFonts w:asciiTheme="minorHAnsi" w:hAnsiTheme="minorHAnsi" w:cs="Calibri"/>
          <w:noProof/>
          <w:sz w:val="22"/>
          <w:szCs w:val="22"/>
        </w:rPr>
        <w:t xml:space="preserve"> the work of national intelligence services.</w:t>
      </w:r>
    </w:p>
    <w:p w14:paraId="0564E475" w14:textId="77777777" w:rsidR="001F1F1F" w:rsidRPr="00B56F98" w:rsidRDefault="001F1F1F" w:rsidP="00B56F98">
      <w:pPr>
        <w:spacing w:before="120" w:after="120"/>
        <w:jc w:val="both"/>
        <w:rPr>
          <w:rFonts w:asciiTheme="minorHAnsi" w:hAnsiTheme="minorHAnsi" w:cs="Calibri"/>
          <w:b/>
          <w:noProof/>
          <w:sz w:val="22"/>
          <w:szCs w:val="22"/>
        </w:rPr>
      </w:pPr>
      <w:r w:rsidRPr="00B56F98">
        <w:rPr>
          <w:rFonts w:asciiTheme="minorHAnsi" w:hAnsiTheme="minorHAnsi" w:cs="Calibri"/>
          <w:b/>
          <w:noProof/>
          <w:sz w:val="22"/>
          <w:szCs w:val="22"/>
        </w:rPr>
        <w:t xml:space="preserve">How was the </w:t>
      </w:r>
      <w:r w:rsidR="00B56F98">
        <w:rPr>
          <w:rFonts w:asciiTheme="minorHAnsi" w:hAnsiTheme="minorHAnsi" w:cs="Calibri"/>
          <w:b/>
          <w:noProof/>
          <w:sz w:val="22"/>
          <w:szCs w:val="22"/>
        </w:rPr>
        <w:t>work</w:t>
      </w:r>
      <w:r w:rsidRPr="00B56F98">
        <w:rPr>
          <w:rFonts w:asciiTheme="minorHAnsi" w:hAnsiTheme="minorHAnsi" w:cs="Calibri"/>
          <w:b/>
          <w:noProof/>
          <w:sz w:val="22"/>
          <w:szCs w:val="22"/>
        </w:rPr>
        <w:t xml:space="preserve"> c</w:t>
      </w:r>
      <w:r w:rsidR="00B56F98">
        <w:rPr>
          <w:rFonts w:asciiTheme="minorHAnsi" w:hAnsiTheme="minorHAnsi" w:cs="Calibri"/>
          <w:b/>
          <w:noProof/>
          <w:sz w:val="22"/>
          <w:szCs w:val="22"/>
        </w:rPr>
        <w:t>arried out</w:t>
      </w:r>
      <w:r w:rsidRPr="00B56F98">
        <w:rPr>
          <w:rFonts w:asciiTheme="minorHAnsi" w:hAnsiTheme="minorHAnsi" w:cs="Calibri"/>
          <w:b/>
          <w:noProof/>
          <w:sz w:val="22"/>
          <w:szCs w:val="22"/>
        </w:rPr>
        <w:t>?</w:t>
      </w:r>
    </w:p>
    <w:p w14:paraId="0A9D1095" w14:textId="58D08F7D" w:rsidR="007D06EF" w:rsidRPr="00A836BD" w:rsidRDefault="00A836BD" w:rsidP="00A836BD">
      <w:pPr>
        <w:spacing w:before="120" w:after="120"/>
        <w:jc w:val="both"/>
        <w:rPr>
          <w:rFonts w:asciiTheme="minorHAnsi" w:hAnsiTheme="minorHAnsi" w:cs="Calibri"/>
          <w:noProof/>
          <w:sz w:val="22"/>
          <w:szCs w:val="22"/>
        </w:rPr>
      </w:pPr>
      <w:r w:rsidRPr="00A836BD">
        <w:rPr>
          <w:rFonts w:asciiTheme="minorHAnsi" w:hAnsiTheme="minorHAnsi" w:cs="Calibri"/>
          <w:noProof/>
          <w:sz w:val="22"/>
          <w:szCs w:val="22"/>
        </w:rPr>
        <w:t>The report</w:t>
      </w:r>
      <w:r w:rsidR="00F23F75">
        <w:rPr>
          <w:rFonts w:asciiTheme="minorHAnsi" w:hAnsiTheme="minorHAnsi" w:cs="Calibri"/>
          <w:noProof/>
          <w:sz w:val="22"/>
          <w:szCs w:val="22"/>
        </w:rPr>
        <w:t>,</w:t>
      </w:r>
      <w:r w:rsidR="00F23F75" w:rsidRPr="00F23F75">
        <w:t xml:space="preserve"> </w:t>
      </w:r>
      <w:r w:rsidR="00F23F75">
        <w:t>‘</w:t>
      </w:r>
      <w:hyperlink r:id="rId16" w:history="1">
        <w:r w:rsidR="00F23F75" w:rsidRPr="00015E4B">
          <w:rPr>
            <w:rStyle w:val="Hiperligao"/>
            <w:rFonts w:asciiTheme="minorHAnsi" w:hAnsiTheme="minorHAnsi" w:cs="Calibri"/>
            <w:i/>
            <w:noProof/>
            <w:sz w:val="22"/>
            <w:szCs w:val="22"/>
          </w:rPr>
          <w:t>Surveillance by intelligence services: fundamental rights safeguards and remedies in the EU</w:t>
        </w:r>
      </w:hyperlink>
      <w:r w:rsidR="00F23F75">
        <w:rPr>
          <w:rFonts w:asciiTheme="minorHAnsi" w:hAnsiTheme="minorHAnsi" w:cs="Calibri"/>
          <w:noProof/>
          <w:sz w:val="22"/>
          <w:szCs w:val="22"/>
        </w:rPr>
        <w:t>’,</w:t>
      </w:r>
      <w:r w:rsidRPr="00A836BD">
        <w:rPr>
          <w:rFonts w:asciiTheme="minorHAnsi" w:hAnsiTheme="minorHAnsi" w:cs="Calibri"/>
          <w:noProof/>
          <w:sz w:val="22"/>
          <w:szCs w:val="22"/>
        </w:rPr>
        <w:t xml:space="preserve"> </w:t>
      </w:r>
      <w:r w:rsidR="00592909">
        <w:rPr>
          <w:rFonts w:asciiTheme="minorHAnsi" w:hAnsiTheme="minorHAnsi" w:cs="Calibri"/>
          <w:noProof/>
          <w:sz w:val="22"/>
          <w:szCs w:val="22"/>
        </w:rPr>
        <w:t>i</w:t>
      </w:r>
      <w:r w:rsidR="00592909" w:rsidRPr="00A836BD">
        <w:rPr>
          <w:rFonts w:asciiTheme="minorHAnsi" w:hAnsiTheme="minorHAnsi" w:cs="Calibri"/>
          <w:noProof/>
          <w:sz w:val="22"/>
          <w:szCs w:val="22"/>
        </w:rPr>
        <w:t xml:space="preserve">s </w:t>
      </w:r>
      <w:r w:rsidRPr="00A836BD">
        <w:rPr>
          <w:rFonts w:asciiTheme="minorHAnsi" w:hAnsiTheme="minorHAnsi" w:cs="Calibri"/>
          <w:noProof/>
          <w:sz w:val="22"/>
          <w:szCs w:val="22"/>
        </w:rPr>
        <w:t xml:space="preserve">based on data from all EU Member States on the legal framework governing surveillance collected by FRA’s multidisciplinary research network, FRANET. </w:t>
      </w:r>
      <w:r w:rsidR="00FB15AA" w:rsidRPr="00FB15AA">
        <w:rPr>
          <w:rFonts w:asciiTheme="minorHAnsi" w:hAnsiTheme="minorHAnsi" w:cs="Calibri"/>
          <w:noProof/>
          <w:sz w:val="22"/>
          <w:szCs w:val="22"/>
        </w:rPr>
        <w:t xml:space="preserve">Additional information was gathered through desk research and exchanges with key </w:t>
      </w:r>
      <w:r w:rsidR="00592909">
        <w:rPr>
          <w:rFonts w:asciiTheme="minorHAnsi" w:hAnsiTheme="minorHAnsi" w:cs="Calibri"/>
          <w:noProof/>
          <w:sz w:val="22"/>
          <w:szCs w:val="22"/>
        </w:rPr>
        <w:t>stakeholders</w:t>
      </w:r>
      <w:r w:rsidR="00FB15AA" w:rsidRPr="00FB15AA">
        <w:rPr>
          <w:rFonts w:asciiTheme="minorHAnsi" w:hAnsiTheme="minorHAnsi" w:cs="Calibri"/>
          <w:noProof/>
          <w:sz w:val="22"/>
          <w:szCs w:val="22"/>
        </w:rPr>
        <w:t xml:space="preserve">, </w:t>
      </w:r>
      <w:r w:rsidR="006773F6" w:rsidRPr="00FB15AA">
        <w:rPr>
          <w:rFonts w:asciiTheme="minorHAnsi" w:hAnsiTheme="minorHAnsi" w:cs="Calibri"/>
          <w:noProof/>
          <w:sz w:val="22"/>
          <w:szCs w:val="22"/>
        </w:rPr>
        <w:t>individual experts</w:t>
      </w:r>
      <w:r w:rsidR="006773F6">
        <w:rPr>
          <w:rFonts w:asciiTheme="minorHAnsi" w:hAnsiTheme="minorHAnsi" w:cs="Calibri"/>
          <w:noProof/>
          <w:sz w:val="22"/>
          <w:szCs w:val="22"/>
        </w:rPr>
        <w:t xml:space="preserve"> </w:t>
      </w:r>
      <w:r w:rsidR="00592909">
        <w:rPr>
          <w:rFonts w:asciiTheme="minorHAnsi" w:hAnsiTheme="minorHAnsi" w:cs="Calibri"/>
          <w:noProof/>
          <w:sz w:val="22"/>
          <w:szCs w:val="22"/>
        </w:rPr>
        <w:t>as well as</w:t>
      </w:r>
      <w:r w:rsidR="00592909" w:rsidRPr="00FB15AA">
        <w:rPr>
          <w:rFonts w:asciiTheme="minorHAnsi" w:hAnsiTheme="minorHAnsi" w:cs="Calibri"/>
          <w:noProof/>
          <w:sz w:val="22"/>
          <w:szCs w:val="22"/>
        </w:rPr>
        <w:t xml:space="preserve"> </w:t>
      </w:r>
      <w:r w:rsidR="00FB15AA" w:rsidRPr="00FB15AA">
        <w:rPr>
          <w:rFonts w:asciiTheme="minorHAnsi" w:hAnsiTheme="minorHAnsi" w:cs="Calibri"/>
          <w:noProof/>
          <w:sz w:val="22"/>
          <w:szCs w:val="22"/>
        </w:rPr>
        <w:t xml:space="preserve">a number of </w:t>
      </w:r>
      <w:r w:rsidR="006773F6">
        <w:rPr>
          <w:rFonts w:asciiTheme="minorHAnsi" w:hAnsiTheme="minorHAnsi" w:cs="Calibri"/>
          <w:noProof/>
          <w:sz w:val="22"/>
          <w:szCs w:val="22"/>
        </w:rPr>
        <w:t xml:space="preserve">government officials </w:t>
      </w:r>
      <w:r w:rsidR="006773F6" w:rsidRPr="00FB15AA">
        <w:rPr>
          <w:rFonts w:asciiTheme="minorHAnsi" w:hAnsiTheme="minorHAnsi" w:cs="Calibri"/>
          <w:noProof/>
          <w:sz w:val="22"/>
          <w:szCs w:val="22"/>
        </w:rPr>
        <w:t>in the Member States</w:t>
      </w:r>
      <w:r w:rsidR="006773F6">
        <w:rPr>
          <w:rFonts w:asciiTheme="minorHAnsi" w:hAnsiTheme="minorHAnsi" w:cs="Calibri"/>
          <w:noProof/>
          <w:sz w:val="22"/>
          <w:szCs w:val="22"/>
        </w:rPr>
        <w:t xml:space="preserve"> who have been appointed as </w:t>
      </w:r>
      <w:r w:rsidR="00FB15AA" w:rsidRPr="006773F6">
        <w:rPr>
          <w:rFonts w:asciiTheme="minorHAnsi" w:hAnsiTheme="minorHAnsi" w:cs="Calibri"/>
          <w:noProof/>
          <w:sz w:val="22"/>
          <w:szCs w:val="22"/>
        </w:rPr>
        <w:t xml:space="preserve">FRA’s </w:t>
      </w:r>
      <w:r w:rsidR="006773F6" w:rsidRPr="006773F6">
        <w:rPr>
          <w:rFonts w:asciiTheme="minorHAnsi" w:hAnsiTheme="minorHAnsi" w:cs="Calibri"/>
          <w:noProof/>
          <w:sz w:val="22"/>
          <w:szCs w:val="22"/>
        </w:rPr>
        <w:t xml:space="preserve">main contact point as </w:t>
      </w:r>
      <w:r w:rsidR="00FB15AA" w:rsidRPr="006773F6">
        <w:rPr>
          <w:rFonts w:asciiTheme="minorHAnsi" w:hAnsiTheme="minorHAnsi" w:cs="Calibri"/>
          <w:noProof/>
          <w:sz w:val="22"/>
          <w:szCs w:val="22"/>
        </w:rPr>
        <w:t>national liaison officers</w:t>
      </w:r>
      <w:r w:rsidRPr="006773F6">
        <w:rPr>
          <w:rFonts w:asciiTheme="minorHAnsi" w:hAnsiTheme="minorHAnsi" w:cs="Calibri"/>
          <w:noProof/>
          <w:sz w:val="22"/>
          <w:szCs w:val="22"/>
        </w:rPr>
        <w:t>.</w:t>
      </w:r>
    </w:p>
    <w:p w14:paraId="4691E0D2" w14:textId="77777777" w:rsidR="005D3231" w:rsidRPr="00FB15AA" w:rsidRDefault="005D3231" w:rsidP="00FB15AA">
      <w:pPr>
        <w:spacing w:before="120" w:after="120"/>
        <w:jc w:val="both"/>
        <w:rPr>
          <w:rFonts w:asciiTheme="minorHAnsi" w:hAnsiTheme="minorHAnsi" w:cs="Calibri"/>
          <w:b/>
          <w:noProof/>
          <w:sz w:val="22"/>
          <w:szCs w:val="22"/>
        </w:rPr>
      </w:pPr>
      <w:r w:rsidRPr="00FB15AA">
        <w:rPr>
          <w:rFonts w:asciiTheme="minorHAnsi" w:hAnsiTheme="minorHAnsi" w:cs="Calibri"/>
          <w:b/>
          <w:noProof/>
          <w:sz w:val="22"/>
          <w:szCs w:val="22"/>
        </w:rPr>
        <w:t xml:space="preserve">What </w:t>
      </w:r>
      <w:r w:rsidR="00D41749">
        <w:rPr>
          <w:rFonts w:asciiTheme="minorHAnsi" w:hAnsiTheme="minorHAnsi" w:cs="Calibri"/>
          <w:b/>
          <w:noProof/>
          <w:sz w:val="22"/>
          <w:szCs w:val="22"/>
        </w:rPr>
        <w:t>did the</w:t>
      </w:r>
      <w:r w:rsidR="00FB15AA">
        <w:rPr>
          <w:rFonts w:asciiTheme="minorHAnsi" w:hAnsiTheme="minorHAnsi" w:cs="Calibri"/>
          <w:b/>
          <w:noProof/>
          <w:sz w:val="22"/>
          <w:szCs w:val="22"/>
        </w:rPr>
        <w:t xml:space="preserve"> research</w:t>
      </w:r>
      <w:r w:rsidR="00D41749">
        <w:rPr>
          <w:rFonts w:asciiTheme="minorHAnsi" w:hAnsiTheme="minorHAnsi" w:cs="Calibri"/>
          <w:b/>
          <w:noProof/>
          <w:sz w:val="22"/>
          <w:szCs w:val="22"/>
        </w:rPr>
        <w:t xml:space="preserve"> cover</w:t>
      </w:r>
      <w:r w:rsidR="00FB15AA">
        <w:rPr>
          <w:rFonts w:asciiTheme="minorHAnsi" w:hAnsiTheme="minorHAnsi" w:cs="Calibri"/>
          <w:b/>
          <w:noProof/>
          <w:sz w:val="22"/>
          <w:szCs w:val="22"/>
        </w:rPr>
        <w:t>?</w:t>
      </w:r>
    </w:p>
    <w:p w14:paraId="656AB712" w14:textId="388FE97C" w:rsidR="00FB15AA" w:rsidRPr="00FB15AA" w:rsidRDefault="00FB15AA" w:rsidP="00FB15AA">
      <w:pPr>
        <w:spacing w:before="120" w:after="120"/>
        <w:jc w:val="both"/>
        <w:rPr>
          <w:rFonts w:asciiTheme="minorHAnsi" w:hAnsiTheme="minorHAnsi" w:cs="Calibri"/>
          <w:noProof/>
          <w:sz w:val="22"/>
          <w:szCs w:val="22"/>
        </w:rPr>
      </w:pPr>
      <w:r w:rsidRPr="00FB15AA">
        <w:rPr>
          <w:rFonts w:asciiTheme="minorHAnsi" w:hAnsiTheme="minorHAnsi" w:cs="Calibri"/>
          <w:noProof/>
          <w:sz w:val="22"/>
          <w:szCs w:val="22"/>
        </w:rPr>
        <w:t xml:space="preserve">FRA’s project focuses on </w:t>
      </w:r>
      <w:r w:rsidR="00792296">
        <w:rPr>
          <w:rFonts w:asciiTheme="minorHAnsi" w:hAnsiTheme="minorHAnsi" w:cs="Calibri"/>
          <w:noProof/>
          <w:sz w:val="22"/>
          <w:szCs w:val="22"/>
        </w:rPr>
        <w:t xml:space="preserve">existing </w:t>
      </w:r>
      <w:r w:rsidR="00792296" w:rsidRPr="00FB15AA">
        <w:rPr>
          <w:rFonts w:asciiTheme="minorHAnsi" w:hAnsiTheme="minorHAnsi" w:cs="Calibri"/>
          <w:noProof/>
          <w:sz w:val="22"/>
          <w:szCs w:val="22"/>
        </w:rPr>
        <w:t>safeguard</w:t>
      </w:r>
      <w:r w:rsidR="00792296">
        <w:rPr>
          <w:rFonts w:asciiTheme="minorHAnsi" w:hAnsiTheme="minorHAnsi" w:cs="Calibri"/>
          <w:noProof/>
          <w:sz w:val="22"/>
          <w:szCs w:val="22"/>
        </w:rPr>
        <w:t>s</w:t>
      </w:r>
      <w:r w:rsidR="00792296" w:rsidRPr="00FB15AA">
        <w:rPr>
          <w:rFonts w:asciiTheme="minorHAnsi" w:hAnsiTheme="minorHAnsi" w:cs="Calibri"/>
          <w:noProof/>
          <w:sz w:val="22"/>
          <w:szCs w:val="22"/>
        </w:rPr>
        <w:t xml:space="preserve"> </w:t>
      </w:r>
      <w:r w:rsidR="00792296">
        <w:rPr>
          <w:rFonts w:asciiTheme="minorHAnsi" w:hAnsiTheme="minorHAnsi" w:cs="Calibri"/>
          <w:noProof/>
          <w:sz w:val="22"/>
          <w:szCs w:val="22"/>
        </w:rPr>
        <w:t>in relation</w:t>
      </w:r>
      <w:r w:rsidR="001B437B">
        <w:rPr>
          <w:rFonts w:asciiTheme="minorHAnsi" w:hAnsiTheme="minorHAnsi" w:cs="Calibri"/>
          <w:noProof/>
          <w:sz w:val="22"/>
          <w:szCs w:val="22"/>
        </w:rPr>
        <w:t xml:space="preserve"> to</w:t>
      </w:r>
      <w:r w:rsidR="00792296">
        <w:rPr>
          <w:rFonts w:asciiTheme="minorHAnsi" w:hAnsiTheme="minorHAnsi" w:cs="Calibri"/>
          <w:noProof/>
          <w:sz w:val="22"/>
          <w:szCs w:val="22"/>
        </w:rPr>
        <w:t xml:space="preserve"> </w:t>
      </w:r>
      <w:r w:rsidRPr="00FB15AA">
        <w:rPr>
          <w:rFonts w:asciiTheme="minorHAnsi" w:hAnsiTheme="minorHAnsi" w:cs="Calibri"/>
          <w:noProof/>
          <w:sz w:val="22"/>
          <w:szCs w:val="22"/>
        </w:rPr>
        <w:t xml:space="preserve">the two particular fundamental rights </w:t>
      </w:r>
      <w:r w:rsidR="009D15BB">
        <w:rPr>
          <w:rFonts w:asciiTheme="minorHAnsi" w:hAnsiTheme="minorHAnsi" w:cs="Calibri"/>
          <w:noProof/>
          <w:sz w:val="22"/>
          <w:szCs w:val="22"/>
        </w:rPr>
        <w:t xml:space="preserve">when it comes to </w:t>
      </w:r>
      <w:r w:rsidRPr="00FB15AA">
        <w:rPr>
          <w:rFonts w:asciiTheme="minorHAnsi" w:hAnsiTheme="minorHAnsi" w:cs="Calibri"/>
          <w:noProof/>
          <w:sz w:val="22"/>
          <w:szCs w:val="22"/>
        </w:rPr>
        <w:t>large-scale communication surveillance by intelligence services: respect for private and family life</w:t>
      </w:r>
      <w:r w:rsidR="009D15BB">
        <w:rPr>
          <w:rFonts w:asciiTheme="minorHAnsi" w:hAnsiTheme="minorHAnsi" w:cs="Calibri"/>
          <w:noProof/>
          <w:sz w:val="22"/>
          <w:szCs w:val="22"/>
        </w:rPr>
        <w:t>,</w:t>
      </w:r>
      <w:r w:rsidRPr="00FB15AA">
        <w:rPr>
          <w:rFonts w:asciiTheme="minorHAnsi" w:hAnsiTheme="minorHAnsi" w:cs="Calibri"/>
          <w:noProof/>
          <w:sz w:val="22"/>
          <w:szCs w:val="22"/>
        </w:rPr>
        <w:t xml:space="preserve"> and the protection of personal data (Article 7 and Article 8 of the </w:t>
      </w:r>
      <w:r w:rsidR="00EE44B1">
        <w:rPr>
          <w:rFonts w:asciiTheme="minorHAnsi" w:hAnsiTheme="minorHAnsi" w:cs="Calibri"/>
          <w:noProof/>
          <w:sz w:val="22"/>
          <w:szCs w:val="22"/>
        </w:rPr>
        <w:t xml:space="preserve">EU </w:t>
      </w:r>
      <w:r w:rsidRPr="00FB15AA">
        <w:rPr>
          <w:rFonts w:asciiTheme="minorHAnsi" w:hAnsiTheme="minorHAnsi" w:cs="Calibri"/>
          <w:noProof/>
          <w:sz w:val="22"/>
          <w:szCs w:val="22"/>
        </w:rPr>
        <w:t xml:space="preserve">Charter of Fundamental Rights). </w:t>
      </w:r>
      <w:r w:rsidR="00D41749" w:rsidRPr="00FB15AA">
        <w:rPr>
          <w:rFonts w:asciiTheme="minorHAnsi" w:hAnsiTheme="minorHAnsi" w:cs="Calibri"/>
          <w:noProof/>
          <w:sz w:val="22"/>
          <w:szCs w:val="22"/>
        </w:rPr>
        <w:t xml:space="preserve">The project analyses </w:t>
      </w:r>
      <w:r w:rsidR="009D15BB">
        <w:rPr>
          <w:rFonts w:asciiTheme="minorHAnsi" w:hAnsiTheme="minorHAnsi" w:cs="Calibri"/>
          <w:noProof/>
          <w:sz w:val="22"/>
          <w:szCs w:val="22"/>
        </w:rPr>
        <w:t>how</w:t>
      </w:r>
      <w:r w:rsidR="00D41749" w:rsidRPr="00FB15AA">
        <w:rPr>
          <w:rFonts w:asciiTheme="minorHAnsi" w:hAnsiTheme="minorHAnsi" w:cs="Calibri"/>
          <w:noProof/>
          <w:sz w:val="22"/>
          <w:szCs w:val="22"/>
        </w:rPr>
        <w:t xml:space="preserve"> national institutions</w:t>
      </w:r>
      <w:r w:rsidR="00F23F75">
        <w:rPr>
          <w:rFonts w:asciiTheme="minorHAnsi" w:hAnsiTheme="minorHAnsi" w:cs="Calibri"/>
          <w:noProof/>
          <w:sz w:val="22"/>
          <w:szCs w:val="22"/>
        </w:rPr>
        <w:t>,</w:t>
      </w:r>
      <w:r w:rsidR="00D41749" w:rsidRPr="00FB15AA">
        <w:rPr>
          <w:rFonts w:asciiTheme="minorHAnsi" w:hAnsiTheme="minorHAnsi" w:cs="Calibri"/>
          <w:noProof/>
          <w:sz w:val="22"/>
          <w:szCs w:val="22"/>
        </w:rPr>
        <w:t xml:space="preserve"> in charge of upholding fundamental rights</w:t>
      </w:r>
      <w:r w:rsidR="00F23F75">
        <w:rPr>
          <w:rFonts w:asciiTheme="minorHAnsi" w:hAnsiTheme="minorHAnsi" w:cs="Calibri"/>
          <w:noProof/>
          <w:sz w:val="22"/>
          <w:szCs w:val="22"/>
        </w:rPr>
        <w:t>,</w:t>
      </w:r>
      <w:r w:rsidR="00D41749" w:rsidRPr="00FB15AA">
        <w:rPr>
          <w:rFonts w:asciiTheme="minorHAnsi" w:hAnsiTheme="minorHAnsi" w:cs="Calibri"/>
          <w:noProof/>
          <w:sz w:val="22"/>
          <w:szCs w:val="22"/>
        </w:rPr>
        <w:t xml:space="preserve"> ensure democratic oversight over intelligence authorities and </w:t>
      </w:r>
      <w:r w:rsidR="00D41749">
        <w:rPr>
          <w:rFonts w:asciiTheme="minorHAnsi" w:hAnsiTheme="minorHAnsi" w:cs="Calibri"/>
          <w:noProof/>
          <w:sz w:val="22"/>
          <w:szCs w:val="22"/>
        </w:rPr>
        <w:t>how they provide</w:t>
      </w:r>
      <w:r w:rsidR="00D41749" w:rsidRPr="00FB15AA">
        <w:rPr>
          <w:rFonts w:asciiTheme="minorHAnsi" w:hAnsiTheme="minorHAnsi" w:cs="Calibri"/>
          <w:noProof/>
          <w:sz w:val="22"/>
          <w:szCs w:val="22"/>
        </w:rPr>
        <w:t xml:space="preserve"> remedies against rights violations</w:t>
      </w:r>
      <w:r w:rsidR="00D41749">
        <w:rPr>
          <w:rFonts w:asciiTheme="minorHAnsi" w:hAnsiTheme="minorHAnsi" w:cs="Calibri"/>
          <w:noProof/>
          <w:sz w:val="22"/>
          <w:szCs w:val="22"/>
        </w:rPr>
        <w:t>.</w:t>
      </w:r>
    </w:p>
    <w:p w14:paraId="49FE2520" w14:textId="3348C453" w:rsidR="007C5A0D" w:rsidRDefault="007C5A0D" w:rsidP="00FB15AA">
      <w:pPr>
        <w:spacing w:before="120" w:after="120"/>
        <w:jc w:val="both"/>
        <w:rPr>
          <w:rFonts w:asciiTheme="minorHAnsi" w:hAnsiTheme="minorHAnsi" w:cs="Calibri"/>
          <w:noProof/>
          <w:sz w:val="22"/>
          <w:szCs w:val="22"/>
        </w:rPr>
      </w:pPr>
      <w:r w:rsidRPr="007C5A0D">
        <w:rPr>
          <w:rFonts w:asciiTheme="minorHAnsi" w:hAnsiTheme="minorHAnsi" w:cs="Calibri"/>
          <w:noProof/>
          <w:sz w:val="22"/>
          <w:szCs w:val="22"/>
        </w:rPr>
        <w:t xml:space="preserve">This report </w:t>
      </w:r>
      <w:r w:rsidR="00792296">
        <w:rPr>
          <w:rFonts w:asciiTheme="minorHAnsi" w:hAnsiTheme="minorHAnsi" w:cs="Calibri"/>
          <w:noProof/>
          <w:sz w:val="22"/>
          <w:szCs w:val="22"/>
        </w:rPr>
        <w:t>contains</w:t>
      </w:r>
      <w:r w:rsidR="00792296" w:rsidRPr="007C5A0D">
        <w:rPr>
          <w:rFonts w:asciiTheme="minorHAnsi" w:hAnsiTheme="minorHAnsi" w:cs="Calibri"/>
          <w:noProof/>
          <w:sz w:val="22"/>
          <w:szCs w:val="22"/>
        </w:rPr>
        <w:t xml:space="preserve"> </w:t>
      </w:r>
      <w:r w:rsidRPr="007C5A0D">
        <w:rPr>
          <w:rFonts w:asciiTheme="minorHAnsi" w:hAnsiTheme="minorHAnsi" w:cs="Calibri"/>
          <w:noProof/>
          <w:sz w:val="22"/>
          <w:szCs w:val="22"/>
        </w:rPr>
        <w:t>a</w:t>
      </w:r>
      <w:r w:rsidR="00792296">
        <w:rPr>
          <w:rFonts w:asciiTheme="minorHAnsi" w:hAnsiTheme="minorHAnsi" w:cs="Calibri"/>
          <w:noProof/>
          <w:sz w:val="22"/>
          <w:szCs w:val="22"/>
        </w:rPr>
        <w:t xml:space="preserve"> comparative analysis </w:t>
      </w:r>
      <w:r w:rsidRPr="007C5A0D">
        <w:rPr>
          <w:rFonts w:asciiTheme="minorHAnsi" w:hAnsiTheme="minorHAnsi" w:cs="Calibri"/>
          <w:noProof/>
          <w:sz w:val="22"/>
          <w:szCs w:val="22"/>
        </w:rPr>
        <w:t>of the EU Member States’ legal frameworks regarding surveillance</w:t>
      </w:r>
      <w:r w:rsidR="00792296">
        <w:rPr>
          <w:rFonts w:asciiTheme="minorHAnsi" w:hAnsiTheme="minorHAnsi" w:cs="Calibri"/>
          <w:noProof/>
          <w:sz w:val="22"/>
          <w:szCs w:val="22"/>
        </w:rPr>
        <w:t xml:space="preserve"> </w:t>
      </w:r>
      <w:r w:rsidR="009D15BB">
        <w:rPr>
          <w:rFonts w:asciiTheme="minorHAnsi" w:hAnsiTheme="minorHAnsi" w:cs="Calibri"/>
          <w:noProof/>
          <w:sz w:val="22"/>
          <w:szCs w:val="22"/>
        </w:rPr>
        <w:t>with</w:t>
      </w:r>
      <w:r w:rsidR="00792296" w:rsidRPr="00792296">
        <w:rPr>
          <w:rFonts w:asciiTheme="minorHAnsi" w:hAnsiTheme="minorHAnsi" w:cs="Calibri"/>
          <w:noProof/>
          <w:sz w:val="22"/>
          <w:szCs w:val="22"/>
        </w:rPr>
        <w:t xml:space="preserve"> an overview of existing fundamental rights standards</w:t>
      </w:r>
      <w:r w:rsidRPr="007C5A0D">
        <w:rPr>
          <w:rFonts w:asciiTheme="minorHAnsi" w:hAnsiTheme="minorHAnsi" w:cs="Calibri"/>
          <w:noProof/>
          <w:sz w:val="22"/>
          <w:szCs w:val="22"/>
        </w:rPr>
        <w:t xml:space="preserve">. The report does not analyse surveillance techniques but rather </w:t>
      </w:r>
      <w:r w:rsidR="006D40FC">
        <w:rPr>
          <w:rFonts w:asciiTheme="minorHAnsi" w:hAnsiTheme="minorHAnsi" w:cs="Calibri"/>
          <w:noProof/>
          <w:sz w:val="22"/>
          <w:szCs w:val="22"/>
        </w:rPr>
        <w:t xml:space="preserve">maps </w:t>
      </w:r>
      <w:r w:rsidRPr="007C5A0D">
        <w:rPr>
          <w:rFonts w:asciiTheme="minorHAnsi" w:hAnsiTheme="minorHAnsi" w:cs="Calibri"/>
          <w:noProof/>
          <w:sz w:val="22"/>
          <w:szCs w:val="22"/>
        </w:rPr>
        <w:t>the legal frameworks that enable these techniques.</w:t>
      </w:r>
      <w:r w:rsidR="00D41749" w:rsidRPr="00D41749">
        <w:rPr>
          <w:rFonts w:asciiTheme="minorHAnsi" w:hAnsiTheme="minorHAnsi" w:cs="Calibri"/>
          <w:noProof/>
          <w:sz w:val="22"/>
          <w:szCs w:val="22"/>
        </w:rPr>
        <w:t xml:space="preserve"> </w:t>
      </w:r>
      <w:r w:rsidR="00F23F75">
        <w:rPr>
          <w:rFonts w:asciiTheme="minorHAnsi" w:hAnsiTheme="minorHAnsi" w:cs="Calibri"/>
          <w:noProof/>
          <w:sz w:val="22"/>
          <w:szCs w:val="22"/>
        </w:rPr>
        <w:t xml:space="preserve">It also does not </w:t>
      </w:r>
      <w:r w:rsidR="00F23F75" w:rsidRPr="00F23F75">
        <w:rPr>
          <w:rFonts w:asciiTheme="minorHAnsi" w:hAnsiTheme="minorHAnsi" w:cs="Calibri"/>
          <w:noProof/>
          <w:sz w:val="22"/>
          <w:szCs w:val="22"/>
        </w:rPr>
        <w:t>assess the implementation of the respective laws</w:t>
      </w:r>
      <w:r w:rsidR="00F23F75">
        <w:rPr>
          <w:rFonts w:asciiTheme="minorHAnsi" w:hAnsiTheme="minorHAnsi" w:cs="Calibri"/>
          <w:noProof/>
          <w:sz w:val="22"/>
          <w:szCs w:val="22"/>
        </w:rPr>
        <w:t>.</w:t>
      </w:r>
    </w:p>
    <w:p w14:paraId="35E31292" w14:textId="63F7667A" w:rsidR="005D3231" w:rsidRDefault="00FB15AA" w:rsidP="00FB15AA">
      <w:pPr>
        <w:spacing w:before="120" w:after="120"/>
        <w:jc w:val="both"/>
        <w:rPr>
          <w:rFonts w:asciiTheme="minorHAnsi" w:hAnsiTheme="minorHAnsi" w:cs="Calibri"/>
          <w:noProof/>
          <w:sz w:val="22"/>
          <w:szCs w:val="22"/>
        </w:rPr>
      </w:pPr>
      <w:r w:rsidRPr="00FB15AA">
        <w:rPr>
          <w:rFonts w:asciiTheme="minorHAnsi" w:hAnsiTheme="minorHAnsi" w:cs="Calibri"/>
          <w:noProof/>
          <w:sz w:val="22"/>
          <w:szCs w:val="22"/>
        </w:rPr>
        <w:t xml:space="preserve">The scope of the project </w:t>
      </w:r>
      <w:r w:rsidR="00792296">
        <w:rPr>
          <w:rFonts w:asciiTheme="minorHAnsi" w:hAnsiTheme="minorHAnsi" w:cs="Calibri"/>
          <w:noProof/>
          <w:sz w:val="22"/>
          <w:szCs w:val="22"/>
        </w:rPr>
        <w:t>fo</w:t>
      </w:r>
      <w:r w:rsidR="001B437B">
        <w:rPr>
          <w:rFonts w:asciiTheme="minorHAnsi" w:hAnsiTheme="minorHAnsi" w:cs="Calibri"/>
          <w:noProof/>
          <w:sz w:val="22"/>
          <w:szCs w:val="22"/>
        </w:rPr>
        <w:t>c</w:t>
      </w:r>
      <w:r w:rsidR="00792296">
        <w:rPr>
          <w:rFonts w:asciiTheme="minorHAnsi" w:hAnsiTheme="minorHAnsi" w:cs="Calibri"/>
          <w:noProof/>
          <w:sz w:val="22"/>
          <w:szCs w:val="22"/>
        </w:rPr>
        <w:t>use</w:t>
      </w:r>
      <w:r w:rsidR="009D15BB">
        <w:rPr>
          <w:rFonts w:asciiTheme="minorHAnsi" w:hAnsiTheme="minorHAnsi" w:cs="Calibri"/>
          <w:noProof/>
          <w:sz w:val="22"/>
          <w:szCs w:val="22"/>
        </w:rPr>
        <w:t>s</w:t>
      </w:r>
      <w:r w:rsidR="00792296">
        <w:rPr>
          <w:rFonts w:asciiTheme="minorHAnsi" w:hAnsiTheme="minorHAnsi" w:cs="Calibri"/>
          <w:noProof/>
          <w:sz w:val="22"/>
          <w:szCs w:val="22"/>
        </w:rPr>
        <w:t xml:space="preserve"> on</w:t>
      </w:r>
      <w:r w:rsidRPr="00FB15AA">
        <w:rPr>
          <w:rFonts w:asciiTheme="minorHAnsi" w:hAnsiTheme="minorHAnsi" w:cs="Calibri"/>
          <w:noProof/>
          <w:sz w:val="22"/>
          <w:szCs w:val="22"/>
        </w:rPr>
        <w:t xml:space="preserve"> the </w:t>
      </w:r>
      <w:r w:rsidR="00DF60BD">
        <w:rPr>
          <w:rFonts w:asciiTheme="minorHAnsi" w:hAnsiTheme="minorHAnsi" w:cs="Calibri"/>
          <w:noProof/>
          <w:sz w:val="22"/>
          <w:szCs w:val="22"/>
        </w:rPr>
        <w:t xml:space="preserve">legal regimes governing </w:t>
      </w:r>
      <w:r w:rsidR="00792296">
        <w:rPr>
          <w:rFonts w:asciiTheme="minorHAnsi" w:hAnsiTheme="minorHAnsi" w:cs="Calibri"/>
          <w:noProof/>
          <w:sz w:val="22"/>
          <w:szCs w:val="22"/>
        </w:rPr>
        <w:t xml:space="preserve">surveillance </w:t>
      </w:r>
      <w:r w:rsidRPr="00FB15AA">
        <w:rPr>
          <w:rFonts w:asciiTheme="minorHAnsi" w:hAnsiTheme="minorHAnsi" w:cs="Calibri"/>
          <w:noProof/>
          <w:sz w:val="22"/>
          <w:szCs w:val="22"/>
        </w:rPr>
        <w:t>by national intelligence authorities. It does not cover data collection for law enforcement</w:t>
      </w:r>
      <w:r w:rsidR="001B437B">
        <w:rPr>
          <w:rFonts w:asciiTheme="minorHAnsi" w:hAnsiTheme="minorHAnsi" w:cs="Calibri"/>
          <w:noProof/>
          <w:sz w:val="22"/>
          <w:szCs w:val="22"/>
        </w:rPr>
        <w:t xml:space="preserve">, including </w:t>
      </w:r>
      <w:r w:rsidRPr="00FB15AA">
        <w:rPr>
          <w:rFonts w:asciiTheme="minorHAnsi" w:hAnsiTheme="minorHAnsi" w:cs="Calibri"/>
          <w:noProof/>
          <w:sz w:val="22"/>
          <w:szCs w:val="22"/>
        </w:rPr>
        <w:t>data retention laws</w:t>
      </w:r>
      <w:r w:rsidR="001B437B">
        <w:rPr>
          <w:rFonts w:asciiTheme="minorHAnsi" w:hAnsiTheme="minorHAnsi" w:cs="Calibri"/>
          <w:noProof/>
          <w:sz w:val="22"/>
          <w:szCs w:val="22"/>
        </w:rPr>
        <w:t xml:space="preserve">. </w:t>
      </w:r>
      <w:r w:rsidRPr="00FB15AA">
        <w:rPr>
          <w:rFonts w:asciiTheme="minorHAnsi" w:hAnsiTheme="minorHAnsi" w:cs="Calibri"/>
          <w:noProof/>
          <w:sz w:val="22"/>
          <w:szCs w:val="22"/>
        </w:rPr>
        <w:t xml:space="preserve"> </w:t>
      </w:r>
    </w:p>
    <w:p w14:paraId="29B078EB" w14:textId="77777777" w:rsidR="00CA7C7F" w:rsidRDefault="00CA7C7F" w:rsidP="00CA7C7F">
      <w:pPr>
        <w:autoSpaceDE w:val="0"/>
        <w:autoSpaceDN w:val="0"/>
        <w:adjustRightInd w:val="0"/>
        <w:jc w:val="both"/>
        <w:rPr>
          <w:rFonts w:asciiTheme="minorHAnsi" w:hAnsiTheme="minorHAnsi" w:cs="Arial"/>
          <w:b/>
          <w:noProof/>
          <w:sz w:val="22"/>
          <w:szCs w:val="22"/>
        </w:rPr>
      </w:pPr>
      <w:r>
        <w:rPr>
          <w:rFonts w:asciiTheme="minorHAnsi" w:hAnsiTheme="minorHAnsi" w:cs="Arial"/>
          <w:b/>
          <w:noProof/>
          <w:sz w:val="22"/>
          <w:szCs w:val="22"/>
        </w:rPr>
        <w:t>What is national security?</w:t>
      </w:r>
    </w:p>
    <w:p w14:paraId="2EAFCF4D" w14:textId="2F7DF523" w:rsidR="00CA7C7F" w:rsidRDefault="00CA7C7F" w:rsidP="00CA7C7F">
      <w:pPr>
        <w:spacing w:before="120" w:after="120"/>
        <w:jc w:val="both"/>
        <w:rPr>
          <w:rFonts w:asciiTheme="minorHAnsi" w:hAnsiTheme="minorHAnsi" w:cs="Calibri"/>
          <w:noProof/>
          <w:sz w:val="22"/>
          <w:szCs w:val="22"/>
        </w:rPr>
      </w:pPr>
      <w:r w:rsidRPr="00CA7C7F">
        <w:rPr>
          <w:rFonts w:asciiTheme="minorHAnsi" w:hAnsiTheme="minorHAnsi" w:cs="Calibri"/>
          <w:noProof/>
          <w:sz w:val="22"/>
          <w:szCs w:val="22"/>
        </w:rPr>
        <w:t xml:space="preserve">Although Member States share the common aim of protecting national security, what this actually means is not harmonised across the EU. </w:t>
      </w:r>
      <w:r w:rsidR="00F23F75">
        <w:rPr>
          <w:rFonts w:asciiTheme="minorHAnsi" w:hAnsiTheme="minorHAnsi" w:cs="Calibri"/>
          <w:noProof/>
          <w:sz w:val="22"/>
          <w:szCs w:val="22"/>
        </w:rPr>
        <w:t>H</w:t>
      </w:r>
      <w:r>
        <w:rPr>
          <w:rFonts w:asciiTheme="minorHAnsi" w:hAnsiTheme="minorHAnsi" w:cs="Calibri"/>
          <w:noProof/>
          <w:sz w:val="22"/>
          <w:szCs w:val="22"/>
        </w:rPr>
        <w:t>ow this translates to m</w:t>
      </w:r>
      <w:r w:rsidRPr="006F5619">
        <w:rPr>
          <w:rFonts w:asciiTheme="minorHAnsi" w:hAnsiTheme="minorHAnsi" w:cs="Calibri"/>
          <w:noProof/>
          <w:sz w:val="22"/>
          <w:szCs w:val="22"/>
        </w:rPr>
        <w:t>andates and areas of activity also var</w:t>
      </w:r>
      <w:r w:rsidR="00F23F75">
        <w:rPr>
          <w:rFonts w:asciiTheme="minorHAnsi" w:hAnsiTheme="minorHAnsi" w:cs="Calibri"/>
          <w:noProof/>
          <w:sz w:val="22"/>
          <w:szCs w:val="22"/>
        </w:rPr>
        <w:t>ies</w:t>
      </w:r>
      <w:r w:rsidR="00F55522">
        <w:rPr>
          <w:rFonts w:asciiTheme="minorHAnsi" w:hAnsiTheme="minorHAnsi" w:cs="Calibri"/>
          <w:noProof/>
          <w:sz w:val="22"/>
          <w:szCs w:val="22"/>
        </w:rPr>
        <w:t>,</w:t>
      </w:r>
      <w:r w:rsidRPr="006F5619">
        <w:rPr>
          <w:rFonts w:asciiTheme="minorHAnsi" w:hAnsiTheme="minorHAnsi" w:cs="Calibri"/>
          <w:noProof/>
          <w:sz w:val="22"/>
          <w:szCs w:val="22"/>
        </w:rPr>
        <w:t xml:space="preserve"> and may extend to organised crime and cybercrime, for example.    </w:t>
      </w:r>
    </w:p>
    <w:p w14:paraId="18B389B0" w14:textId="77777777" w:rsidR="00DA35E1" w:rsidRPr="00CA7C7F" w:rsidRDefault="00DA35E1" w:rsidP="00CA7C7F">
      <w:pPr>
        <w:spacing w:before="120" w:after="120"/>
        <w:jc w:val="both"/>
        <w:rPr>
          <w:rFonts w:asciiTheme="minorHAnsi" w:hAnsiTheme="minorHAnsi" w:cs="Calibri"/>
          <w:noProof/>
          <w:sz w:val="22"/>
          <w:szCs w:val="22"/>
        </w:rPr>
      </w:pPr>
    </w:p>
    <w:p w14:paraId="634C2BA0" w14:textId="2575CAFD" w:rsidR="007C5A0D" w:rsidRPr="00FB15AA" w:rsidRDefault="009D15BB" w:rsidP="007C5A0D">
      <w:pPr>
        <w:autoSpaceDE w:val="0"/>
        <w:autoSpaceDN w:val="0"/>
        <w:adjustRightInd w:val="0"/>
        <w:jc w:val="both"/>
        <w:rPr>
          <w:rFonts w:asciiTheme="minorHAnsi" w:hAnsiTheme="minorHAnsi" w:cs="Arial"/>
          <w:b/>
          <w:noProof/>
          <w:sz w:val="22"/>
          <w:szCs w:val="22"/>
        </w:rPr>
      </w:pPr>
      <w:r w:rsidRPr="00FB15AA">
        <w:rPr>
          <w:rFonts w:asciiTheme="minorHAnsi" w:hAnsiTheme="minorHAnsi" w:cs="Arial"/>
          <w:b/>
          <w:noProof/>
          <w:sz w:val="22"/>
          <w:szCs w:val="22"/>
        </w:rPr>
        <w:t>Wh</w:t>
      </w:r>
      <w:r>
        <w:rPr>
          <w:rFonts w:asciiTheme="minorHAnsi" w:hAnsiTheme="minorHAnsi" w:cs="Arial"/>
          <w:b/>
          <w:noProof/>
          <w:sz w:val="22"/>
          <w:szCs w:val="22"/>
        </w:rPr>
        <w:t>ich</w:t>
      </w:r>
      <w:r w:rsidRPr="00FB15AA">
        <w:rPr>
          <w:rFonts w:asciiTheme="minorHAnsi" w:hAnsiTheme="minorHAnsi" w:cs="Arial"/>
          <w:b/>
          <w:noProof/>
          <w:sz w:val="22"/>
          <w:szCs w:val="22"/>
        </w:rPr>
        <w:t xml:space="preserve"> </w:t>
      </w:r>
      <w:r>
        <w:rPr>
          <w:rFonts w:asciiTheme="minorHAnsi" w:hAnsiTheme="minorHAnsi" w:cs="Arial"/>
          <w:b/>
          <w:noProof/>
          <w:sz w:val="22"/>
          <w:szCs w:val="22"/>
        </w:rPr>
        <w:t xml:space="preserve">types </w:t>
      </w:r>
      <w:r w:rsidR="007C5A0D">
        <w:rPr>
          <w:rFonts w:asciiTheme="minorHAnsi" w:hAnsiTheme="minorHAnsi" w:cs="Arial"/>
          <w:b/>
          <w:noProof/>
          <w:sz w:val="22"/>
          <w:szCs w:val="22"/>
        </w:rPr>
        <w:t>of surveillance did FRA look at</w:t>
      </w:r>
      <w:r w:rsidR="007C5A0D" w:rsidRPr="00FB15AA">
        <w:rPr>
          <w:rFonts w:asciiTheme="minorHAnsi" w:hAnsiTheme="minorHAnsi" w:cs="Arial"/>
          <w:b/>
          <w:noProof/>
          <w:sz w:val="22"/>
          <w:szCs w:val="22"/>
        </w:rPr>
        <w:t>?</w:t>
      </w:r>
    </w:p>
    <w:p w14:paraId="7C3288FD" w14:textId="66A96E0F" w:rsidR="007C5A0D" w:rsidRPr="003905C3" w:rsidRDefault="00DB37AE" w:rsidP="003905C3">
      <w:pPr>
        <w:spacing w:before="120" w:after="120"/>
        <w:jc w:val="both"/>
        <w:rPr>
          <w:rFonts w:asciiTheme="minorHAnsi" w:hAnsiTheme="minorHAnsi" w:cs="Calibri"/>
          <w:noProof/>
          <w:sz w:val="22"/>
          <w:szCs w:val="22"/>
        </w:rPr>
      </w:pPr>
      <w:r w:rsidRPr="003905C3">
        <w:rPr>
          <w:rFonts w:asciiTheme="minorHAnsi" w:hAnsiTheme="minorHAnsi" w:cs="Calibri"/>
          <w:noProof/>
          <w:sz w:val="22"/>
          <w:szCs w:val="22"/>
        </w:rPr>
        <w:t xml:space="preserve">FRA </w:t>
      </w:r>
      <w:r w:rsidR="00D41749">
        <w:rPr>
          <w:rFonts w:asciiTheme="minorHAnsi" w:hAnsiTheme="minorHAnsi" w:cs="Calibri"/>
          <w:noProof/>
          <w:sz w:val="22"/>
          <w:szCs w:val="22"/>
        </w:rPr>
        <w:t>looked at</w:t>
      </w:r>
      <w:r w:rsidRPr="003905C3">
        <w:rPr>
          <w:rFonts w:asciiTheme="minorHAnsi" w:hAnsiTheme="minorHAnsi" w:cs="Calibri"/>
          <w:noProof/>
          <w:sz w:val="22"/>
          <w:szCs w:val="22"/>
        </w:rPr>
        <w:t xml:space="preserve"> targeted surveillance and untargeted </w:t>
      </w:r>
      <w:r w:rsidR="00F23F75" w:rsidRPr="003905C3">
        <w:rPr>
          <w:rFonts w:asciiTheme="minorHAnsi" w:hAnsiTheme="minorHAnsi" w:cs="Calibri"/>
          <w:noProof/>
          <w:sz w:val="22"/>
          <w:szCs w:val="22"/>
        </w:rPr>
        <w:t xml:space="preserve">surveillance </w:t>
      </w:r>
      <w:r w:rsidR="006D40FC">
        <w:rPr>
          <w:rFonts w:asciiTheme="minorHAnsi" w:hAnsiTheme="minorHAnsi" w:cs="Calibri"/>
          <w:noProof/>
          <w:sz w:val="22"/>
          <w:szCs w:val="22"/>
        </w:rPr>
        <w:t xml:space="preserve">often refered to as </w:t>
      </w:r>
      <w:r w:rsidR="003905C3" w:rsidRPr="003905C3">
        <w:rPr>
          <w:rFonts w:asciiTheme="minorHAnsi" w:hAnsiTheme="minorHAnsi" w:cs="Calibri"/>
          <w:noProof/>
          <w:sz w:val="22"/>
          <w:szCs w:val="22"/>
        </w:rPr>
        <w:t xml:space="preserve">‘mass </w:t>
      </w:r>
      <w:r w:rsidRPr="003905C3">
        <w:rPr>
          <w:rFonts w:asciiTheme="minorHAnsi" w:hAnsiTheme="minorHAnsi" w:cs="Calibri"/>
          <w:noProof/>
          <w:sz w:val="22"/>
          <w:szCs w:val="22"/>
        </w:rPr>
        <w:t>surveillance</w:t>
      </w:r>
      <w:r w:rsidR="006D40FC">
        <w:rPr>
          <w:rFonts w:asciiTheme="minorHAnsi" w:hAnsiTheme="minorHAnsi" w:cs="Calibri"/>
          <w:noProof/>
          <w:sz w:val="22"/>
          <w:szCs w:val="22"/>
        </w:rPr>
        <w:t>’</w:t>
      </w:r>
      <w:r w:rsidRPr="003905C3">
        <w:rPr>
          <w:rFonts w:asciiTheme="minorHAnsi" w:hAnsiTheme="minorHAnsi" w:cs="Calibri"/>
          <w:noProof/>
          <w:sz w:val="22"/>
          <w:szCs w:val="22"/>
        </w:rPr>
        <w:t xml:space="preserve">. </w:t>
      </w:r>
      <w:r w:rsidR="003905C3" w:rsidRPr="003905C3">
        <w:rPr>
          <w:rFonts w:asciiTheme="minorHAnsi" w:hAnsiTheme="minorHAnsi" w:cs="Calibri"/>
          <w:noProof/>
          <w:sz w:val="22"/>
          <w:szCs w:val="22"/>
        </w:rPr>
        <w:t>‘</w:t>
      </w:r>
      <w:r w:rsidR="003905C3">
        <w:rPr>
          <w:rFonts w:asciiTheme="minorHAnsi" w:hAnsiTheme="minorHAnsi" w:cs="Calibri"/>
          <w:noProof/>
          <w:sz w:val="22"/>
          <w:szCs w:val="22"/>
        </w:rPr>
        <w:t>M</w:t>
      </w:r>
      <w:r w:rsidR="003905C3" w:rsidRPr="003905C3">
        <w:rPr>
          <w:rFonts w:asciiTheme="minorHAnsi" w:hAnsiTheme="minorHAnsi" w:cs="Calibri"/>
          <w:noProof/>
          <w:sz w:val="22"/>
          <w:szCs w:val="22"/>
        </w:rPr>
        <w:t xml:space="preserve">ass surveillance’ as </w:t>
      </w:r>
      <w:r w:rsidR="003905C3">
        <w:rPr>
          <w:rFonts w:asciiTheme="minorHAnsi" w:hAnsiTheme="minorHAnsi" w:cs="Calibri"/>
          <w:noProof/>
          <w:sz w:val="22"/>
          <w:szCs w:val="22"/>
        </w:rPr>
        <w:t xml:space="preserve">a term is not used in national law. When surveillance is mentioned it tends to refer to </w:t>
      </w:r>
      <w:r w:rsidR="003905C3" w:rsidRPr="003905C3">
        <w:rPr>
          <w:rFonts w:asciiTheme="minorHAnsi" w:hAnsiTheme="minorHAnsi" w:cs="Calibri"/>
          <w:noProof/>
          <w:sz w:val="22"/>
          <w:szCs w:val="22"/>
        </w:rPr>
        <w:t>signals intelligence</w:t>
      </w:r>
      <w:r w:rsidR="003905C3">
        <w:rPr>
          <w:rFonts w:asciiTheme="minorHAnsi" w:hAnsiTheme="minorHAnsi" w:cs="Calibri"/>
          <w:noProof/>
          <w:sz w:val="22"/>
          <w:szCs w:val="22"/>
        </w:rPr>
        <w:t xml:space="preserve"> i.e. the </w:t>
      </w:r>
      <w:r w:rsidR="003905C3" w:rsidRPr="003905C3">
        <w:rPr>
          <w:rFonts w:asciiTheme="minorHAnsi" w:hAnsiTheme="minorHAnsi" w:cs="Calibri"/>
          <w:noProof/>
          <w:sz w:val="22"/>
          <w:szCs w:val="22"/>
        </w:rPr>
        <w:t xml:space="preserve">automated gathering of information through the interception and collection of digital data </w:t>
      </w:r>
      <w:r w:rsidR="009330E1">
        <w:rPr>
          <w:rFonts w:asciiTheme="minorHAnsi" w:hAnsiTheme="minorHAnsi" w:cs="Calibri"/>
          <w:noProof/>
          <w:sz w:val="22"/>
          <w:szCs w:val="22"/>
        </w:rPr>
        <w:t>by the use of search terms not necessarily linked to an individual</w:t>
      </w:r>
      <w:r w:rsidR="003905C3" w:rsidRPr="003905C3">
        <w:rPr>
          <w:rFonts w:asciiTheme="minorHAnsi" w:hAnsiTheme="minorHAnsi" w:cs="Calibri"/>
          <w:noProof/>
          <w:sz w:val="22"/>
          <w:szCs w:val="22"/>
        </w:rPr>
        <w:t>.</w:t>
      </w:r>
      <w:r w:rsidR="003905C3">
        <w:rPr>
          <w:rFonts w:asciiTheme="minorHAnsi" w:hAnsiTheme="minorHAnsi" w:cs="Calibri"/>
          <w:noProof/>
          <w:sz w:val="22"/>
          <w:szCs w:val="22"/>
        </w:rPr>
        <w:t xml:space="preserve"> Targeted surveillance, </w:t>
      </w:r>
      <w:r w:rsidR="003905C3" w:rsidRPr="003905C3">
        <w:rPr>
          <w:rFonts w:asciiTheme="minorHAnsi" w:hAnsiTheme="minorHAnsi" w:cs="Calibri"/>
          <w:noProof/>
          <w:sz w:val="22"/>
          <w:szCs w:val="22"/>
        </w:rPr>
        <w:t>such as telephone tapping</w:t>
      </w:r>
      <w:r w:rsidR="003905C3">
        <w:rPr>
          <w:rFonts w:asciiTheme="minorHAnsi" w:hAnsiTheme="minorHAnsi" w:cs="Calibri"/>
          <w:noProof/>
          <w:sz w:val="22"/>
          <w:szCs w:val="22"/>
        </w:rPr>
        <w:t xml:space="preserve">, is when </w:t>
      </w:r>
      <w:r w:rsidR="00291D08">
        <w:rPr>
          <w:rFonts w:asciiTheme="minorHAnsi" w:hAnsiTheme="minorHAnsi" w:cs="Calibri"/>
          <w:noProof/>
          <w:sz w:val="22"/>
          <w:szCs w:val="22"/>
        </w:rPr>
        <w:t xml:space="preserve">the data target - the </w:t>
      </w:r>
      <w:r w:rsidR="00291D08" w:rsidRPr="003905C3">
        <w:rPr>
          <w:rFonts w:asciiTheme="minorHAnsi" w:hAnsiTheme="minorHAnsi" w:cs="Calibri"/>
          <w:noProof/>
          <w:sz w:val="22"/>
          <w:szCs w:val="22"/>
        </w:rPr>
        <w:t xml:space="preserve">person, organisation or technical characteristic </w:t>
      </w:r>
      <w:r w:rsidR="00291D08">
        <w:rPr>
          <w:rFonts w:asciiTheme="minorHAnsi" w:hAnsiTheme="minorHAnsi" w:cs="Calibri"/>
          <w:noProof/>
          <w:sz w:val="22"/>
          <w:szCs w:val="22"/>
        </w:rPr>
        <w:t>- is specified in advance.</w:t>
      </w:r>
      <w:r w:rsidR="003905C3">
        <w:rPr>
          <w:rFonts w:asciiTheme="minorHAnsi" w:hAnsiTheme="minorHAnsi" w:cs="Calibri"/>
          <w:noProof/>
          <w:sz w:val="22"/>
          <w:szCs w:val="22"/>
        </w:rPr>
        <w:t xml:space="preserve"> </w:t>
      </w:r>
    </w:p>
    <w:p w14:paraId="39BE5962" w14:textId="4FD637C9" w:rsidR="007C5A0D" w:rsidRPr="006F5619" w:rsidRDefault="00540C38" w:rsidP="009D15BB">
      <w:pPr>
        <w:jc w:val="both"/>
        <w:rPr>
          <w:rFonts w:asciiTheme="minorHAnsi" w:hAnsiTheme="minorHAnsi" w:cs="Calibri"/>
          <w:b/>
          <w:noProof/>
          <w:sz w:val="22"/>
          <w:szCs w:val="22"/>
        </w:rPr>
      </w:pPr>
      <w:r w:rsidRPr="006F5619">
        <w:rPr>
          <w:rFonts w:asciiTheme="minorHAnsi" w:hAnsiTheme="minorHAnsi" w:cs="Calibri"/>
          <w:b/>
          <w:noProof/>
          <w:sz w:val="22"/>
          <w:szCs w:val="22"/>
        </w:rPr>
        <w:t xml:space="preserve">How </w:t>
      </w:r>
      <w:r w:rsidR="00454DE6" w:rsidRPr="006F5619">
        <w:rPr>
          <w:rFonts w:asciiTheme="minorHAnsi" w:hAnsiTheme="minorHAnsi" w:cs="Calibri"/>
          <w:b/>
          <w:noProof/>
          <w:sz w:val="22"/>
          <w:szCs w:val="22"/>
        </w:rPr>
        <w:t>are intelligence services o</w:t>
      </w:r>
      <w:r w:rsidR="00F13493" w:rsidRPr="006F5619">
        <w:rPr>
          <w:rFonts w:asciiTheme="minorHAnsi" w:hAnsiTheme="minorHAnsi" w:cs="Calibri"/>
          <w:b/>
          <w:noProof/>
          <w:sz w:val="22"/>
          <w:szCs w:val="22"/>
        </w:rPr>
        <w:t>rganised across the EU</w:t>
      </w:r>
      <w:r w:rsidR="007C5A0D" w:rsidRPr="006F5619">
        <w:rPr>
          <w:rFonts w:asciiTheme="minorHAnsi" w:hAnsiTheme="minorHAnsi" w:cs="Calibri"/>
          <w:b/>
          <w:noProof/>
          <w:sz w:val="22"/>
          <w:szCs w:val="22"/>
        </w:rPr>
        <w:t>?</w:t>
      </w:r>
    </w:p>
    <w:p w14:paraId="5677C7A9" w14:textId="273B63F6" w:rsidR="007C5A0D" w:rsidRDefault="00F13493" w:rsidP="00CA7C7F">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I</w:t>
      </w:r>
      <w:r w:rsidRPr="00F13493">
        <w:rPr>
          <w:rFonts w:asciiTheme="minorHAnsi" w:hAnsiTheme="minorHAnsi" w:cs="Arial"/>
          <w:noProof/>
          <w:sz w:val="22"/>
          <w:szCs w:val="22"/>
        </w:rPr>
        <w:t xml:space="preserve">ntelligence services in the EU </w:t>
      </w:r>
      <w:r w:rsidR="00454DE6">
        <w:rPr>
          <w:rFonts w:asciiTheme="minorHAnsi" w:hAnsiTheme="minorHAnsi" w:cs="Arial"/>
          <w:noProof/>
          <w:sz w:val="22"/>
          <w:szCs w:val="22"/>
        </w:rPr>
        <w:t>are</w:t>
      </w:r>
      <w:r w:rsidRPr="00F13493">
        <w:rPr>
          <w:rFonts w:asciiTheme="minorHAnsi" w:hAnsiTheme="minorHAnsi" w:cs="Arial"/>
          <w:noProof/>
          <w:sz w:val="22"/>
          <w:szCs w:val="22"/>
        </w:rPr>
        <w:t xml:space="preserve"> extremely diverse</w:t>
      </w:r>
      <w:r w:rsidR="00454DE6">
        <w:rPr>
          <w:rFonts w:asciiTheme="minorHAnsi" w:hAnsiTheme="minorHAnsi" w:cs="Arial"/>
          <w:noProof/>
          <w:sz w:val="22"/>
          <w:szCs w:val="22"/>
        </w:rPr>
        <w:t xml:space="preserve"> as t</w:t>
      </w:r>
      <w:r w:rsidRPr="00F13493">
        <w:rPr>
          <w:rFonts w:asciiTheme="minorHAnsi" w:hAnsiTheme="minorHAnsi" w:cs="Arial"/>
          <w:noProof/>
          <w:sz w:val="22"/>
          <w:szCs w:val="22"/>
        </w:rPr>
        <w:t>he organisation of the intelligence community is closely linked to the country’s historical developments. In some Member States, two intelligence services carry out the work; in others, five or six bodies are in charge of it.</w:t>
      </w:r>
      <w:r w:rsidR="00CA7C7F" w:rsidRPr="00CA7C7F">
        <w:rPr>
          <w:rFonts w:asciiTheme="minorHAnsi" w:hAnsiTheme="minorHAnsi" w:cs="Calibri"/>
          <w:noProof/>
          <w:sz w:val="22"/>
          <w:szCs w:val="22"/>
        </w:rPr>
        <w:t xml:space="preserve"> </w:t>
      </w:r>
      <w:r w:rsidR="00CA7C7F" w:rsidRPr="006F5619">
        <w:rPr>
          <w:rFonts w:asciiTheme="minorHAnsi" w:hAnsiTheme="minorHAnsi" w:cs="Calibri"/>
          <w:noProof/>
          <w:sz w:val="22"/>
          <w:szCs w:val="22"/>
        </w:rPr>
        <w:t>Some differentiate between civil and military intelligence.</w:t>
      </w:r>
    </w:p>
    <w:p w14:paraId="4BE4659C" w14:textId="6A78D35A" w:rsidR="006F5619" w:rsidRPr="006F5619" w:rsidRDefault="006F5619" w:rsidP="006F5619">
      <w:pPr>
        <w:autoSpaceDE w:val="0"/>
        <w:autoSpaceDN w:val="0"/>
        <w:adjustRightInd w:val="0"/>
        <w:jc w:val="both"/>
        <w:rPr>
          <w:rFonts w:asciiTheme="minorHAnsi" w:hAnsiTheme="minorHAnsi" w:cs="Arial"/>
          <w:b/>
          <w:noProof/>
          <w:sz w:val="22"/>
          <w:szCs w:val="22"/>
        </w:rPr>
      </w:pPr>
      <w:r w:rsidRPr="006F5619">
        <w:rPr>
          <w:rFonts w:asciiTheme="minorHAnsi" w:hAnsiTheme="minorHAnsi" w:cs="Arial"/>
          <w:b/>
          <w:noProof/>
          <w:sz w:val="22"/>
          <w:szCs w:val="22"/>
        </w:rPr>
        <w:t>What is the legal basis for surveillance?</w:t>
      </w:r>
    </w:p>
    <w:p w14:paraId="32564652" w14:textId="306F0BBB" w:rsidR="00F517A4" w:rsidRDefault="00CA7C7F" w:rsidP="006F5619">
      <w:pPr>
        <w:spacing w:before="120" w:after="120"/>
        <w:jc w:val="both"/>
        <w:rPr>
          <w:rFonts w:asciiTheme="minorHAnsi" w:hAnsiTheme="minorHAnsi" w:cs="Arial"/>
          <w:noProof/>
          <w:sz w:val="22"/>
          <w:szCs w:val="22"/>
        </w:rPr>
      </w:pPr>
      <w:r w:rsidRPr="000421E9">
        <w:rPr>
          <w:rFonts w:asciiTheme="minorHAnsi" w:hAnsiTheme="minorHAnsi" w:cs="Arial"/>
          <w:noProof/>
          <w:sz w:val="22"/>
          <w:szCs w:val="22"/>
        </w:rPr>
        <w:t xml:space="preserve">Intelligence services are regulated by law in </w:t>
      </w:r>
      <w:r>
        <w:rPr>
          <w:rFonts w:asciiTheme="minorHAnsi" w:hAnsiTheme="minorHAnsi" w:cs="Arial"/>
          <w:noProof/>
          <w:sz w:val="22"/>
          <w:szCs w:val="22"/>
        </w:rPr>
        <w:t xml:space="preserve">all but two </w:t>
      </w:r>
      <w:r w:rsidRPr="000421E9">
        <w:rPr>
          <w:rFonts w:asciiTheme="minorHAnsi" w:hAnsiTheme="minorHAnsi" w:cs="Arial"/>
          <w:noProof/>
          <w:sz w:val="22"/>
          <w:szCs w:val="22"/>
        </w:rPr>
        <w:t xml:space="preserve">Member States. The </w:t>
      </w:r>
      <w:r>
        <w:rPr>
          <w:rFonts w:asciiTheme="minorHAnsi" w:hAnsiTheme="minorHAnsi" w:cs="Arial"/>
          <w:noProof/>
          <w:sz w:val="22"/>
          <w:szCs w:val="22"/>
        </w:rPr>
        <w:t xml:space="preserve">Portuguese </w:t>
      </w:r>
      <w:r w:rsidRPr="000421E9">
        <w:rPr>
          <w:rFonts w:asciiTheme="minorHAnsi" w:hAnsiTheme="minorHAnsi" w:cs="Arial"/>
          <w:noProof/>
          <w:sz w:val="22"/>
          <w:szCs w:val="22"/>
        </w:rPr>
        <w:t xml:space="preserve">constitution prohibits its intelligence service from undertaking surveillance. </w:t>
      </w:r>
      <w:r w:rsidR="009D15BB">
        <w:rPr>
          <w:rFonts w:asciiTheme="minorHAnsi" w:hAnsiTheme="minorHAnsi" w:cs="Arial"/>
          <w:noProof/>
          <w:sz w:val="22"/>
          <w:szCs w:val="22"/>
        </w:rPr>
        <w:t>Cyprus</w:t>
      </w:r>
      <w:r w:rsidRPr="000421E9">
        <w:rPr>
          <w:rFonts w:asciiTheme="minorHAnsi" w:hAnsiTheme="minorHAnsi" w:cs="Arial"/>
          <w:noProof/>
          <w:sz w:val="22"/>
          <w:szCs w:val="22"/>
        </w:rPr>
        <w:t xml:space="preserve"> is </w:t>
      </w:r>
      <w:r w:rsidR="00F55522">
        <w:rPr>
          <w:rFonts w:asciiTheme="minorHAnsi" w:hAnsiTheme="minorHAnsi" w:cs="Arial"/>
          <w:noProof/>
          <w:sz w:val="22"/>
          <w:szCs w:val="22"/>
        </w:rPr>
        <w:t xml:space="preserve">discussing </w:t>
      </w:r>
      <w:r w:rsidRPr="000421E9">
        <w:rPr>
          <w:rFonts w:asciiTheme="minorHAnsi" w:hAnsiTheme="minorHAnsi" w:cs="Arial"/>
          <w:noProof/>
          <w:sz w:val="22"/>
          <w:szCs w:val="22"/>
        </w:rPr>
        <w:t>legislation that will regulate its intelligence services’ surveillance practices.</w:t>
      </w:r>
      <w:r>
        <w:rPr>
          <w:rFonts w:asciiTheme="minorHAnsi" w:hAnsiTheme="minorHAnsi" w:cs="Arial"/>
          <w:noProof/>
          <w:sz w:val="22"/>
          <w:szCs w:val="22"/>
        </w:rPr>
        <w:t xml:space="preserve"> </w:t>
      </w:r>
    </w:p>
    <w:p w14:paraId="4C338E0A" w14:textId="74051478" w:rsidR="00F13493" w:rsidRPr="006F5619" w:rsidRDefault="00F13493" w:rsidP="006F5619">
      <w:pPr>
        <w:spacing w:before="120" w:after="120"/>
        <w:jc w:val="both"/>
        <w:rPr>
          <w:rFonts w:asciiTheme="minorHAnsi" w:hAnsiTheme="minorHAnsi" w:cs="Calibri"/>
          <w:noProof/>
          <w:sz w:val="22"/>
          <w:szCs w:val="22"/>
        </w:rPr>
      </w:pPr>
      <w:r w:rsidRPr="006F5619">
        <w:rPr>
          <w:rFonts w:asciiTheme="minorHAnsi" w:hAnsiTheme="minorHAnsi" w:cs="Calibri"/>
          <w:noProof/>
          <w:sz w:val="22"/>
          <w:szCs w:val="22"/>
        </w:rPr>
        <w:t xml:space="preserve">The mandates and powers of the national intelligence services </w:t>
      </w:r>
      <w:r w:rsidR="00CE1806">
        <w:rPr>
          <w:rFonts w:asciiTheme="minorHAnsi" w:hAnsiTheme="minorHAnsi" w:cs="Calibri"/>
          <w:noProof/>
          <w:sz w:val="22"/>
          <w:szCs w:val="22"/>
        </w:rPr>
        <w:t>are regulated by rel</w:t>
      </w:r>
      <w:r w:rsidR="00DA597B">
        <w:rPr>
          <w:rFonts w:asciiTheme="minorHAnsi" w:hAnsiTheme="minorHAnsi" w:cs="Calibri"/>
          <w:noProof/>
          <w:sz w:val="22"/>
          <w:szCs w:val="22"/>
        </w:rPr>
        <w:t>e</w:t>
      </w:r>
      <w:r w:rsidR="00CE1806">
        <w:rPr>
          <w:rFonts w:asciiTheme="minorHAnsi" w:hAnsiTheme="minorHAnsi" w:cs="Calibri"/>
          <w:noProof/>
          <w:sz w:val="22"/>
          <w:szCs w:val="22"/>
        </w:rPr>
        <w:t xml:space="preserve">vant domestic </w:t>
      </w:r>
      <w:r w:rsidR="00DA597B">
        <w:rPr>
          <w:rFonts w:asciiTheme="minorHAnsi" w:hAnsiTheme="minorHAnsi" w:cs="Calibri"/>
          <w:noProof/>
          <w:sz w:val="22"/>
          <w:szCs w:val="22"/>
        </w:rPr>
        <w:t>laws</w:t>
      </w:r>
      <w:r w:rsidR="00CE1806">
        <w:rPr>
          <w:rFonts w:asciiTheme="minorHAnsi" w:hAnsiTheme="minorHAnsi" w:cs="Calibri"/>
          <w:noProof/>
          <w:sz w:val="22"/>
          <w:szCs w:val="22"/>
        </w:rPr>
        <w:t xml:space="preserve">, </w:t>
      </w:r>
      <w:r w:rsidRPr="006F5619">
        <w:rPr>
          <w:rFonts w:asciiTheme="minorHAnsi" w:hAnsiTheme="minorHAnsi" w:cs="Calibri"/>
          <w:noProof/>
          <w:sz w:val="22"/>
          <w:szCs w:val="22"/>
        </w:rPr>
        <w:t>rang</w:t>
      </w:r>
      <w:r w:rsidR="00CE1806">
        <w:rPr>
          <w:rFonts w:asciiTheme="minorHAnsi" w:hAnsiTheme="minorHAnsi" w:cs="Calibri"/>
          <w:noProof/>
          <w:sz w:val="22"/>
          <w:szCs w:val="22"/>
        </w:rPr>
        <w:t>ing</w:t>
      </w:r>
      <w:r w:rsidRPr="006F5619">
        <w:rPr>
          <w:rFonts w:asciiTheme="minorHAnsi" w:hAnsiTheme="minorHAnsi" w:cs="Calibri"/>
          <w:noProof/>
          <w:sz w:val="22"/>
          <w:szCs w:val="22"/>
        </w:rPr>
        <w:t xml:space="preserve"> from one unique legal act to complex frameworks where several laws and ordinances regulate specific aspects of the</w:t>
      </w:r>
      <w:r w:rsidR="00454DE6" w:rsidRPr="006F5619">
        <w:rPr>
          <w:rFonts w:asciiTheme="minorHAnsi" w:hAnsiTheme="minorHAnsi" w:cs="Calibri"/>
          <w:noProof/>
          <w:sz w:val="22"/>
          <w:szCs w:val="22"/>
        </w:rPr>
        <w:t xml:space="preserve"> service</w:t>
      </w:r>
      <w:r w:rsidRPr="006F5619">
        <w:rPr>
          <w:rFonts w:asciiTheme="minorHAnsi" w:hAnsiTheme="minorHAnsi" w:cs="Calibri"/>
          <w:noProof/>
          <w:sz w:val="22"/>
          <w:szCs w:val="22"/>
        </w:rPr>
        <w:t xml:space="preserve">. </w:t>
      </w:r>
    </w:p>
    <w:p w14:paraId="64D09E2A" w14:textId="5DDDF2D9" w:rsidR="000421E9" w:rsidRPr="000421E9" w:rsidRDefault="00454DE6" w:rsidP="009D15BB">
      <w:pPr>
        <w:autoSpaceDE w:val="0"/>
        <w:autoSpaceDN w:val="0"/>
        <w:adjustRightInd w:val="0"/>
        <w:spacing w:before="120" w:after="120"/>
        <w:jc w:val="both"/>
        <w:rPr>
          <w:rFonts w:asciiTheme="minorHAnsi" w:hAnsiTheme="minorHAnsi" w:cs="Arial"/>
          <w:noProof/>
          <w:sz w:val="22"/>
          <w:szCs w:val="22"/>
        </w:rPr>
      </w:pPr>
      <w:r w:rsidRPr="000421E9">
        <w:rPr>
          <w:rFonts w:asciiTheme="minorHAnsi" w:hAnsiTheme="minorHAnsi" w:cs="Arial"/>
          <w:noProof/>
          <w:sz w:val="22"/>
          <w:szCs w:val="22"/>
        </w:rPr>
        <w:t xml:space="preserve">Most legal frameworks only regulate </w:t>
      </w:r>
      <w:r w:rsidR="006D40FC">
        <w:rPr>
          <w:rFonts w:asciiTheme="minorHAnsi" w:hAnsiTheme="minorHAnsi" w:cs="Arial"/>
          <w:noProof/>
          <w:sz w:val="22"/>
          <w:szCs w:val="22"/>
        </w:rPr>
        <w:t xml:space="preserve">in detail </w:t>
      </w:r>
      <w:r w:rsidRPr="000421E9">
        <w:rPr>
          <w:rFonts w:asciiTheme="minorHAnsi" w:hAnsiTheme="minorHAnsi" w:cs="Arial"/>
          <w:noProof/>
          <w:sz w:val="22"/>
          <w:szCs w:val="22"/>
        </w:rPr>
        <w:t>targeted surveillance, either towards individuals or defined groups/organisations.</w:t>
      </w:r>
      <w:r w:rsidR="00CA7C7F" w:rsidRPr="000421E9" w:rsidDel="00CA7C7F">
        <w:rPr>
          <w:rFonts w:asciiTheme="minorHAnsi" w:hAnsiTheme="minorHAnsi" w:cs="Arial"/>
          <w:noProof/>
          <w:sz w:val="22"/>
          <w:szCs w:val="22"/>
        </w:rPr>
        <w:t xml:space="preserve"> </w:t>
      </w:r>
      <w:r w:rsidRPr="00454DE6">
        <w:rPr>
          <w:rFonts w:asciiTheme="minorHAnsi" w:hAnsiTheme="minorHAnsi" w:cs="Arial"/>
          <w:noProof/>
          <w:sz w:val="22"/>
          <w:szCs w:val="22"/>
        </w:rPr>
        <w:t>France, Germany, the Netherlands, Sweden and the U</w:t>
      </w:r>
      <w:r>
        <w:rPr>
          <w:rFonts w:asciiTheme="minorHAnsi" w:hAnsiTheme="minorHAnsi" w:cs="Arial"/>
          <w:noProof/>
          <w:sz w:val="22"/>
          <w:szCs w:val="22"/>
        </w:rPr>
        <w:t>K</w:t>
      </w:r>
      <w:r w:rsidR="000421E9" w:rsidRPr="000421E9">
        <w:rPr>
          <w:rFonts w:asciiTheme="minorHAnsi" w:hAnsiTheme="minorHAnsi" w:cs="Arial"/>
          <w:noProof/>
          <w:sz w:val="22"/>
          <w:szCs w:val="22"/>
        </w:rPr>
        <w:t xml:space="preserve"> have detailed laws on the conditions for using signals intelligence.</w:t>
      </w:r>
    </w:p>
    <w:p w14:paraId="32509FC7" w14:textId="41FAC4B6" w:rsidR="00540C38" w:rsidRPr="006F5619" w:rsidRDefault="00540C38" w:rsidP="006F5619">
      <w:pPr>
        <w:autoSpaceDE w:val="0"/>
        <w:autoSpaceDN w:val="0"/>
        <w:adjustRightInd w:val="0"/>
        <w:jc w:val="both"/>
        <w:rPr>
          <w:rFonts w:asciiTheme="minorHAnsi" w:hAnsiTheme="minorHAnsi" w:cs="Arial"/>
          <w:b/>
          <w:noProof/>
          <w:sz w:val="22"/>
          <w:szCs w:val="22"/>
        </w:rPr>
      </w:pPr>
      <w:r w:rsidRPr="006F5619">
        <w:rPr>
          <w:rFonts w:asciiTheme="minorHAnsi" w:hAnsiTheme="minorHAnsi" w:cs="Arial"/>
          <w:b/>
          <w:noProof/>
          <w:sz w:val="22"/>
          <w:szCs w:val="22"/>
        </w:rPr>
        <w:t>How is oversight organised?</w:t>
      </w:r>
    </w:p>
    <w:p w14:paraId="5A0E6C0F" w14:textId="5A1297EB" w:rsidR="00540C38" w:rsidRPr="006F5619" w:rsidRDefault="00BA0A17" w:rsidP="006F5619">
      <w:pPr>
        <w:spacing w:before="120" w:after="120"/>
        <w:jc w:val="both"/>
        <w:rPr>
          <w:rFonts w:asciiTheme="minorHAnsi" w:hAnsiTheme="minorHAnsi" w:cs="Calibri"/>
          <w:noProof/>
          <w:sz w:val="22"/>
          <w:szCs w:val="22"/>
        </w:rPr>
      </w:pPr>
      <w:r w:rsidRPr="006F5619">
        <w:rPr>
          <w:rFonts w:asciiTheme="minorHAnsi" w:hAnsiTheme="minorHAnsi" w:cs="Calibri"/>
          <w:noProof/>
          <w:sz w:val="22"/>
          <w:szCs w:val="22"/>
        </w:rPr>
        <w:t>Effective oversight calls for proper coordination between the various oversight bodies to ensure that every aspect of the work of intelligence services is covered. If oversight bodies do not have a clear, comprehensive understanding of the work of the entire national intelligence community</w:t>
      </w:r>
      <w:r w:rsidR="00015863">
        <w:rPr>
          <w:rFonts w:asciiTheme="minorHAnsi" w:hAnsiTheme="minorHAnsi" w:cs="Calibri"/>
          <w:noProof/>
          <w:sz w:val="22"/>
          <w:szCs w:val="22"/>
        </w:rPr>
        <w:t>,</w:t>
      </w:r>
      <w:r w:rsidR="00F517A4">
        <w:rPr>
          <w:rFonts w:asciiTheme="minorHAnsi" w:hAnsiTheme="minorHAnsi" w:cs="Calibri"/>
          <w:noProof/>
          <w:sz w:val="22"/>
          <w:szCs w:val="22"/>
        </w:rPr>
        <w:t xml:space="preserve"> </w:t>
      </w:r>
      <w:r w:rsidR="00015863">
        <w:rPr>
          <w:rFonts w:asciiTheme="minorHAnsi" w:hAnsiTheme="minorHAnsi" w:cs="Calibri"/>
          <w:noProof/>
          <w:sz w:val="22"/>
          <w:szCs w:val="22"/>
        </w:rPr>
        <w:t xml:space="preserve">all areas of their work </w:t>
      </w:r>
      <w:r w:rsidR="00F517A4">
        <w:rPr>
          <w:rFonts w:asciiTheme="minorHAnsi" w:hAnsiTheme="minorHAnsi" w:cs="Calibri"/>
          <w:noProof/>
          <w:sz w:val="22"/>
          <w:szCs w:val="22"/>
        </w:rPr>
        <w:t>will not be covered and</w:t>
      </w:r>
      <w:r w:rsidRPr="006F5619">
        <w:rPr>
          <w:rFonts w:asciiTheme="minorHAnsi" w:hAnsiTheme="minorHAnsi" w:cs="Calibri"/>
          <w:noProof/>
          <w:sz w:val="22"/>
          <w:szCs w:val="22"/>
        </w:rPr>
        <w:t xml:space="preserve"> gaps in oversight will result</w:t>
      </w:r>
      <w:r w:rsidR="006F5619">
        <w:rPr>
          <w:rFonts w:asciiTheme="minorHAnsi" w:hAnsiTheme="minorHAnsi" w:cs="Calibri"/>
          <w:noProof/>
          <w:sz w:val="22"/>
          <w:szCs w:val="22"/>
        </w:rPr>
        <w:t>. This will hinder</w:t>
      </w:r>
      <w:r w:rsidRPr="006F5619">
        <w:rPr>
          <w:rFonts w:asciiTheme="minorHAnsi" w:hAnsiTheme="minorHAnsi" w:cs="Calibri"/>
          <w:noProof/>
          <w:sz w:val="22"/>
          <w:szCs w:val="22"/>
        </w:rPr>
        <w:t xml:space="preserve"> the effectiveness of the oversight system.</w:t>
      </w:r>
      <w:r w:rsidR="00F517A4">
        <w:rPr>
          <w:rFonts w:asciiTheme="minorHAnsi" w:hAnsiTheme="minorHAnsi" w:cs="Calibri"/>
          <w:noProof/>
          <w:sz w:val="22"/>
          <w:szCs w:val="22"/>
        </w:rPr>
        <w:t xml:space="preserve"> Seven Member States </w:t>
      </w:r>
      <w:r w:rsidR="00F517A4" w:rsidRPr="004017CC">
        <w:rPr>
          <w:rFonts w:asciiTheme="minorHAnsi" w:hAnsiTheme="minorHAnsi" w:cs="Calibri"/>
          <w:noProof/>
          <w:sz w:val="22"/>
          <w:szCs w:val="22"/>
        </w:rPr>
        <w:t xml:space="preserve">have </w:t>
      </w:r>
      <w:r w:rsidR="00015863">
        <w:rPr>
          <w:rFonts w:asciiTheme="minorHAnsi" w:hAnsiTheme="minorHAnsi" w:cs="Calibri"/>
          <w:noProof/>
          <w:sz w:val="22"/>
          <w:szCs w:val="22"/>
        </w:rPr>
        <w:t xml:space="preserve">sought to address this by having </w:t>
      </w:r>
      <w:r w:rsidR="00F517A4" w:rsidRPr="004017CC">
        <w:rPr>
          <w:rFonts w:asciiTheme="minorHAnsi" w:hAnsiTheme="minorHAnsi" w:cs="Calibri"/>
          <w:noProof/>
          <w:sz w:val="22"/>
          <w:szCs w:val="22"/>
        </w:rPr>
        <w:t xml:space="preserve">an oversight system </w:t>
      </w:r>
      <w:r w:rsidR="00F517A4">
        <w:rPr>
          <w:rFonts w:asciiTheme="minorHAnsi" w:hAnsiTheme="minorHAnsi" w:cs="Calibri"/>
          <w:noProof/>
          <w:sz w:val="22"/>
          <w:szCs w:val="22"/>
        </w:rPr>
        <w:t xml:space="preserve">involving different types of </w:t>
      </w:r>
      <w:r w:rsidR="00F517A4" w:rsidRPr="004017CC">
        <w:rPr>
          <w:rFonts w:asciiTheme="minorHAnsi" w:hAnsiTheme="minorHAnsi" w:cs="Calibri"/>
          <w:noProof/>
          <w:sz w:val="22"/>
          <w:szCs w:val="22"/>
        </w:rPr>
        <w:t>bodies</w:t>
      </w:r>
      <w:r w:rsidR="00F517A4">
        <w:rPr>
          <w:rFonts w:asciiTheme="minorHAnsi" w:hAnsiTheme="minorHAnsi" w:cs="Calibri"/>
          <w:noProof/>
          <w:sz w:val="22"/>
          <w:szCs w:val="22"/>
        </w:rPr>
        <w:t>.</w:t>
      </w:r>
    </w:p>
    <w:p w14:paraId="537D4F95" w14:textId="22B63164" w:rsidR="00875967" w:rsidRDefault="00875967" w:rsidP="009D15BB">
      <w:pPr>
        <w:autoSpaceDE w:val="0"/>
        <w:autoSpaceDN w:val="0"/>
        <w:adjustRightInd w:val="0"/>
        <w:spacing w:before="120" w:after="120"/>
        <w:jc w:val="both"/>
        <w:rPr>
          <w:rFonts w:asciiTheme="minorHAnsi" w:hAnsiTheme="minorHAnsi" w:cs="Arial"/>
          <w:noProof/>
          <w:sz w:val="22"/>
          <w:szCs w:val="22"/>
        </w:rPr>
      </w:pPr>
      <w:r w:rsidRPr="00875967">
        <w:rPr>
          <w:rFonts w:asciiTheme="minorHAnsi" w:hAnsiTheme="minorHAnsi" w:cs="Arial"/>
          <w:noProof/>
          <w:sz w:val="22"/>
          <w:szCs w:val="22"/>
        </w:rPr>
        <w:t>In some Member States, the authorisation of surveillance measures does not involve any institutions that are independent of the intelligence services and the executive</w:t>
      </w:r>
    </w:p>
    <w:p w14:paraId="76546253" w14:textId="4BE68841" w:rsidR="00434542" w:rsidRDefault="007D0E03" w:rsidP="009D15BB">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 xml:space="preserve">There is </w:t>
      </w:r>
      <w:r w:rsidR="00BA0A17">
        <w:rPr>
          <w:rFonts w:asciiTheme="minorHAnsi" w:hAnsiTheme="minorHAnsi" w:cs="Arial"/>
          <w:noProof/>
          <w:sz w:val="22"/>
          <w:szCs w:val="22"/>
        </w:rPr>
        <w:t>have</w:t>
      </w:r>
      <w:r w:rsidR="00BA0A17" w:rsidRPr="00BA0A17">
        <w:rPr>
          <w:rFonts w:asciiTheme="minorHAnsi" w:hAnsiTheme="minorHAnsi" w:cs="Arial"/>
          <w:noProof/>
          <w:sz w:val="22"/>
          <w:szCs w:val="22"/>
        </w:rPr>
        <w:t xml:space="preserve"> parliamentary </w:t>
      </w:r>
      <w:r w:rsidRPr="00BA0A17">
        <w:rPr>
          <w:rFonts w:asciiTheme="minorHAnsi" w:hAnsiTheme="minorHAnsi" w:cs="Arial"/>
          <w:noProof/>
          <w:sz w:val="22"/>
          <w:szCs w:val="22"/>
        </w:rPr>
        <w:t>oversight</w:t>
      </w:r>
      <w:r>
        <w:rPr>
          <w:rFonts w:asciiTheme="minorHAnsi" w:hAnsiTheme="minorHAnsi" w:cs="Arial"/>
          <w:noProof/>
          <w:sz w:val="22"/>
          <w:szCs w:val="22"/>
        </w:rPr>
        <w:t xml:space="preserve"> in all </w:t>
      </w:r>
      <w:r w:rsidRPr="004E6508">
        <w:rPr>
          <w:rFonts w:asciiTheme="minorHAnsi" w:hAnsiTheme="minorHAnsi" w:cs="Arial"/>
          <w:noProof/>
          <w:sz w:val="22"/>
          <w:szCs w:val="22"/>
        </w:rPr>
        <w:t>Member States</w:t>
      </w:r>
      <w:r>
        <w:rPr>
          <w:rFonts w:asciiTheme="minorHAnsi" w:hAnsiTheme="minorHAnsi" w:cs="Arial"/>
          <w:noProof/>
          <w:sz w:val="22"/>
          <w:szCs w:val="22"/>
        </w:rPr>
        <w:t>, e</w:t>
      </w:r>
      <w:r w:rsidRPr="004E6508">
        <w:rPr>
          <w:rFonts w:asciiTheme="minorHAnsi" w:hAnsiTheme="minorHAnsi" w:cs="Arial"/>
          <w:noProof/>
          <w:sz w:val="22"/>
          <w:szCs w:val="22"/>
        </w:rPr>
        <w:t>xcept for Ireland, Malta, Finland and Portugal</w:t>
      </w:r>
      <w:r w:rsidR="004E6508">
        <w:rPr>
          <w:rFonts w:asciiTheme="minorHAnsi" w:hAnsiTheme="minorHAnsi" w:cs="Arial"/>
          <w:noProof/>
          <w:sz w:val="22"/>
          <w:szCs w:val="22"/>
        </w:rPr>
        <w:t>.</w:t>
      </w:r>
      <w:r w:rsidR="00BA0A17" w:rsidRPr="00BA0A17">
        <w:rPr>
          <w:rFonts w:asciiTheme="minorHAnsi" w:hAnsiTheme="minorHAnsi" w:cs="Arial"/>
          <w:noProof/>
          <w:sz w:val="22"/>
          <w:szCs w:val="22"/>
        </w:rPr>
        <w:t xml:space="preserve"> </w:t>
      </w:r>
      <w:r w:rsidR="004E6508">
        <w:rPr>
          <w:rFonts w:asciiTheme="minorHAnsi" w:hAnsiTheme="minorHAnsi" w:cs="Arial"/>
          <w:noProof/>
          <w:sz w:val="22"/>
          <w:szCs w:val="22"/>
        </w:rPr>
        <w:t>O</w:t>
      </w:r>
      <w:r w:rsidR="00BA0A17" w:rsidRPr="00BA0A17">
        <w:rPr>
          <w:rFonts w:asciiTheme="minorHAnsi" w:hAnsiTheme="minorHAnsi" w:cs="Arial"/>
          <w:noProof/>
          <w:sz w:val="22"/>
          <w:szCs w:val="22"/>
        </w:rPr>
        <w:t xml:space="preserve">f these </w:t>
      </w:r>
      <w:r w:rsidR="004E6508">
        <w:rPr>
          <w:rFonts w:asciiTheme="minorHAnsi" w:hAnsiTheme="minorHAnsi" w:cs="Arial"/>
          <w:noProof/>
          <w:sz w:val="22"/>
          <w:szCs w:val="22"/>
        </w:rPr>
        <w:t xml:space="preserve">only </w:t>
      </w:r>
      <w:r w:rsidR="004E6508" w:rsidRPr="004E6508">
        <w:rPr>
          <w:rFonts w:asciiTheme="minorHAnsi" w:hAnsiTheme="minorHAnsi" w:cs="Arial"/>
          <w:noProof/>
          <w:sz w:val="22"/>
          <w:szCs w:val="22"/>
        </w:rPr>
        <w:t xml:space="preserve">Cyprus, Greece and Sweden have not set up specific parliamentary committees </w:t>
      </w:r>
      <w:r w:rsidR="00BA0A17" w:rsidRPr="00BA0A17">
        <w:rPr>
          <w:rFonts w:asciiTheme="minorHAnsi" w:hAnsiTheme="minorHAnsi" w:cs="Arial"/>
          <w:noProof/>
          <w:sz w:val="22"/>
          <w:szCs w:val="22"/>
        </w:rPr>
        <w:t>to oversee the</w:t>
      </w:r>
      <w:r w:rsidR="006D40FC">
        <w:rPr>
          <w:rFonts w:asciiTheme="minorHAnsi" w:hAnsiTheme="minorHAnsi" w:cs="Arial"/>
          <w:noProof/>
          <w:sz w:val="22"/>
          <w:szCs w:val="22"/>
        </w:rPr>
        <w:t xml:space="preserve"> governmental policies carr</w:t>
      </w:r>
      <w:r>
        <w:rPr>
          <w:rFonts w:asciiTheme="minorHAnsi" w:hAnsiTheme="minorHAnsi" w:cs="Arial"/>
          <w:noProof/>
          <w:sz w:val="22"/>
          <w:szCs w:val="22"/>
        </w:rPr>
        <w:t>ied</w:t>
      </w:r>
      <w:r w:rsidR="006D40FC">
        <w:rPr>
          <w:rFonts w:asciiTheme="minorHAnsi" w:hAnsiTheme="minorHAnsi" w:cs="Arial"/>
          <w:noProof/>
          <w:sz w:val="22"/>
          <w:szCs w:val="22"/>
        </w:rPr>
        <w:t xml:space="preserve"> out by</w:t>
      </w:r>
      <w:r w:rsidR="00BA0A17" w:rsidRPr="00BA0A17">
        <w:rPr>
          <w:rFonts w:asciiTheme="minorHAnsi" w:hAnsiTheme="minorHAnsi" w:cs="Arial"/>
          <w:noProof/>
          <w:sz w:val="22"/>
          <w:szCs w:val="22"/>
        </w:rPr>
        <w:t xml:space="preserve"> intelligence services. </w:t>
      </w:r>
      <w:r w:rsidR="00BA0A17">
        <w:rPr>
          <w:rFonts w:asciiTheme="minorHAnsi" w:hAnsiTheme="minorHAnsi" w:cs="Arial"/>
          <w:noProof/>
          <w:sz w:val="22"/>
          <w:szCs w:val="22"/>
        </w:rPr>
        <w:t xml:space="preserve">However, </w:t>
      </w:r>
      <w:r w:rsidR="00F517A4">
        <w:rPr>
          <w:rFonts w:asciiTheme="minorHAnsi" w:hAnsiTheme="minorHAnsi" w:cs="Arial"/>
          <w:noProof/>
          <w:sz w:val="22"/>
          <w:szCs w:val="22"/>
        </w:rPr>
        <w:t xml:space="preserve">although some </w:t>
      </w:r>
      <w:r>
        <w:rPr>
          <w:rFonts w:asciiTheme="minorHAnsi" w:hAnsiTheme="minorHAnsi" w:cs="Arial"/>
          <w:noProof/>
          <w:sz w:val="22"/>
          <w:szCs w:val="22"/>
        </w:rPr>
        <w:t xml:space="preserve">parliamentary committees </w:t>
      </w:r>
      <w:r w:rsidR="00F517A4">
        <w:rPr>
          <w:rFonts w:asciiTheme="minorHAnsi" w:hAnsiTheme="minorHAnsi" w:cs="Arial"/>
          <w:noProof/>
          <w:sz w:val="22"/>
          <w:szCs w:val="22"/>
        </w:rPr>
        <w:t xml:space="preserve">can request </w:t>
      </w:r>
      <w:r w:rsidR="00F517A4" w:rsidRPr="00BA0A17">
        <w:rPr>
          <w:rFonts w:asciiTheme="minorHAnsi" w:hAnsiTheme="minorHAnsi" w:cs="Arial"/>
          <w:noProof/>
          <w:sz w:val="22"/>
          <w:szCs w:val="22"/>
        </w:rPr>
        <w:t xml:space="preserve">access to intelligence </w:t>
      </w:r>
      <w:r w:rsidR="00F517A4">
        <w:rPr>
          <w:rFonts w:asciiTheme="minorHAnsi" w:hAnsiTheme="minorHAnsi" w:cs="Arial"/>
          <w:noProof/>
          <w:sz w:val="22"/>
          <w:szCs w:val="22"/>
        </w:rPr>
        <w:t>information, none can demand it.</w:t>
      </w:r>
      <w:r w:rsidR="00F517A4" w:rsidDel="00F517A4">
        <w:rPr>
          <w:rFonts w:asciiTheme="minorHAnsi" w:hAnsiTheme="minorHAnsi" w:cs="Arial"/>
          <w:noProof/>
          <w:sz w:val="22"/>
          <w:szCs w:val="22"/>
        </w:rPr>
        <w:t xml:space="preserve"> </w:t>
      </w:r>
    </w:p>
    <w:p w14:paraId="3E8AAE87" w14:textId="1C884422" w:rsidR="00FF699F" w:rsidRDefault="00FF699F" w:rsidP="009D15BB">
      <w:pPr>
        <w:autoSpaceDE w:val="0"/>
        <w:autoSpaceDN w:val="0"/>
        <w:adjustRightInd w:val="0"/>
        <w:spacing w:before="120" w:after="120"/>
        <w:jc w:val="both"/>
        <w:rPr>
          <w:rFonts w:asciiTheme="minorHAnsi" w:hAnsiTheme="minorHAnsi" w:cs="Arial"/>
          <w:noProof/>
          <w:sz w:val="22"/>
          <w:szCs w:val="22"/>
        </w:rPr>
      </w:pPr>
      <w:r w:rsidRPr="00FF699F">
        <w:rPr>
          <w:rFonts w:asciiTheme="minorHAnsi" w:hAnsiTheme="minorHAnsi" w:cs="Arial"/>
          <w:noProof/>
          <w:sz w:val="22"/>
          <w:szCs w:val="22"/>
        </w:rPr>
        <w:t>Although parliamentary oversight is crucial, it must be complemented by other oversight bodies, particularly strong expert bodies that can oversee operational activities, including the collection, exchange and use of personal data, as well as the protection of the right to private life.</w:t>
      </w:r>
    </w:p>
    <w:p w14:paraId="09151EF4" w14:textId="115D3166" w:rsidR="00733F1B" w:rsidRDefault="00434542" w:rsidP="009D15BB">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 xml:space="preserve">Expert bodies need to be not just legally but also technically knowledgeable. </w:t>
      </w:r>
      <w:r w:rsidRPr="00434542">
        <w:rPr>
          <w:rFonts w:asciiTheme="minorHAnsi" w:hAnsiTheme="minorHAnsi" w:cs="Arial"/>
          <w:noProof/>
          <w:sz w:val="22"/>
          <w:szCs w:val="22"/>
        </w:rPr>
        <w:t>Some Member States ensure this by including experts from a range of different fields, including information and communications technology. Others rely heavily on a combination of current or former judges and parliamentarians.</w:t>
      </w:r>
      <w:r w:rsidR="00BB6AAB" w:rsidRPr="00BB6AAB">
        <w:rPr>
          <w:rFonts w:asciiTheme="minorHAnsi" w:hAnsiTheme="minorHAnsi" w:cs="Arial"/>
          <w:noProof/>
          <w:sz w:val="22"/>
          <w:szCs w:val="22"/>
        </w:rPr>
        <w:t xml:space="preserve"> </w:t>
      </w:r>
      <w:r w:rsidR="00BB6AAB" w:rsidRPr="00DD0F29">
        <w:rPr>
          <w:rFonts w:asciiTheme="minorHAnsi" w:hAnsiTheme="minorHAnsi" w:cs="Arial"/>
          <w:noProof/>
          <w:sz w:val="22"/>
          <w:szCs w:val="22"/>
        </w:rPr>
        <w:t>1</w:t>
      </w:r>
      <w:r w:rsidR="002D20D8">
        <w:rPr>
          <w:rFonts w:asciiTheme="minorHAnsi" w:hAnsiTheme="minorHAnsi" w:cs="Arial"/>
          <w:noProof/>
          <w:sz w:val="22"/>
          <w:szCs w:val="22"/>
        </w:rPr>
        <w:t>5</w:t>
      </w:r>
      <w:r w:rsidR="00BB6AAB" w:rsidRPr="00DD0F29">
        <w:rPr>
          <w:rFonts w:asciiTheme="minorHAnsi" w:hAnsiTheme="minorHAnsi" w:cs="Arial"/>
          <w:noProof/>
          <w:sz w:val="22"/>
          <w:szCs w:val="22"/>
        </w:rPr>
        <w:t xml:space="preserve"> Member States have expert bodies exclusively dedicated to intelligence service oversight</w:t>
      </w:r>
      <w:r w:rsidR="0077320F">
        <w:rPr>
          <w:rFonts w:asciiTheme="minorHAnsi" w:hAnsiTheme="minorHAnsi" w:cs="Arial"/>
          <w:noProof/>
          <w:sz w:val="22"/>
          <w:szCs w:val="22"/>
        </w:rPr>
        <w:t xml:space="preserve"> (See Table </w:t>
      </w:r>
      <w:r w:rsidR="00D46E52">
        <w:rPr>
          <w:rFonts w:asciiTheme="minorHAnsi" w:hAnsiTheme="minorHAnsi" w:cs="Arial"/>
          <w:noProof/>
          <w:sz w:val="22"/>
          <w:szCs w:val="22"/>
        </w:rPr>
        <w:t>2</w:t>
      </w:r>
      <w:r w:rsidR="0077320F">
        <w:rPr>
          <w:rFonts w:asciiTheme="minorHAnsi" w:hAnsiTheme="minorHAnsi" w:cs="Arial"/>
          <w:noProof/>
          <w:sz w:val="22"/>
          <w:szCs w:val="22"/>
        </w:rPr>
        <w:t>)</w:t>
      </w:r>
      <w:r w:rsidR="00BB6AAB" w:rsidRPr="00DD0F29">
        <w:rPr>
          <w:rFonts w:asciiTheme="minorHAnsi" w:hAnsiTheme="minorHAnsi" w:cs="Arial"/>
          <w:noProof/>
          <w:sz w:val="22"/>
          <w:szCs w:val="22"/>
        </w:rPr>
        <w:t xml:space="preserve">. </w:t>
      </w:r>
      <w:r w:rsidR="00AD2308">
        <w:rPr>
          <w:rFonts w:asciiTheme="minorHAnsi" w:hAnsiTheme="minorHAnsi" w:cs="Arial"/>
          <w:noProof/>
          <w:sz w:val="22"/>
          <w:szCs w:val="22"/>
        </w:rPr>
        <w:t>T</w:t>
      </w:r>
      <w:r w:rsidR="00AD2308" w:rsidRPr="00AD2308">
        <w:rPr>
          <w:rFonts w:asciiTheme="minorHAnsi" w:hAnsiTheme="minorHAnsi" w:cs="Arial"/>
          <w:noProof/>
          <w:sz w:val="22"/>
          <w:szCs w:val="22"/>
        </w:rPr>
        <w:t>he</w:t>
      </w:r>
      <w:r w:rsidR="007D0E03">
        <w:rPr>
          <w:rFonts w:asciiTheme="minorHAnsi" w:hAnsiTheme="minorHAnsi" w:cs="Arial"/>
          <w:noProof/>
          <w:sz w:val="22"/>
          <w:szCs w:val="22"/>
        </w:rPr>
        <w:t>y can</w:t>
      </w:r>
      <w:r w:rsidR="00AD2308" w:rsidRPr="00AD2308">
        <w:rPr>
          <w:rFonts w:asciiTheme="minorHAnsi" w:hAnsiTheme="minorHAnsi" w:cs="Arial"/>
          <w:noProof/>
          <w:sz w:val="22"/>
          <w:szCs w:val="22"/>
        </w:rPr>
        <w:t xml:space="preserve"> authorise surveillance measures, investigate complaints, </w:t>
      </w:r>
      <w:r w:rsidR="00AD2308" w:rsidRPr="00AD2308">
        <w:rPr>
          <w:rFonts w:asciiTheme="minorHAnsi" w:hAnsiTheme="minorHAnsi" w:cs="Arial"/>
          <w:noProof/>
          <w:sz w:val="22"/>
          <w:szCs w:val="22"/>
        </w:rPr>
        <w:lastRenderedPageBreak/>
        <w:t xml:space="preserve">request documents and information from the intelligence services, or give advice to the </w:t>
      </w:r>
      <w:r w:rsidR="00015863">
        <w:rPr>
          <w:rFonts w:asciiTheme="minorHAnsi" w:hAnsiTheme="minorHAnsi" w:cs="Arial"/>
          <w:noProof/>
          <w:sz w:val="22"/>
          <w:szCs w:val="22"/>
        </w:rPr>
        <w:t>government</w:t>
      </w:r>
      <w:r w:rsidR="00AD2308" w:rsidRPr="00AD2308">
        <w:rPr>
          <w:rFonts w:asciiTheme="minorHAnsi" w:hAnsiTheme="minorHAnsi" w:cs="Arial"/>
          <w:noProof/>
          <w:sz w:val="22"/>
          <w:szCs w:val="22"/>
        </w:rPr>
        <w:t xml:space="preserve"> and/or parliament.</w:t>
      </w:r>
    </w:p>
    <w:p w14:paraId="0A513955" w14:textId="1954405C" w:rsidR="00434542" w:rsidRDefault="00434542" w:rsidP="00015863">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 xml:space="preserve">In all Member States, </w:t>
      </w:r>
      <w:r w:rsidRPr="00434542">
        <w:rPr>
          <w:rFonts w:asciiTheme="minorHAnsi" w:hAnsiTheme="minorHAnsi" w:cs="Arial"/>
          <w:noProof/>
          <w:sz w:val="22"/>
          <w:szCs w:val="22"/>
        </w:rPr>
        <w:t>data protection authorities (DPAs)</w:t>
      </w:r>
      <w:r w:rsidR="00773DAF">
        <w:rPr>
          <w:rFonts w:asciiTheme="minorHAnsi" w:hAnsiTheme="minorHAnsi" w:cs="Arial"/>
          <w:noProof/>
          <w:sz w:val="22"/>
          <w:szCs w:val="22"/>
        </w:rPr>
        <w:t xml:space="preserve"> </w:t>
      </w:r>
      <w:r w:rsidRPr="00434542">
        <w:rPr>
          <w:rFonts w:asciiTheme="minorHAnsi" w:hAnsiTheme="minorHAnsi" w:cs="Arial"/>
          <w:noProof/>
          <w:sz w:val="22"/>
          <w:szCs w:val="22"/>
        </w:rPr>
        <w:t>safeguard the right to the protection of personal data</w:t>
      </w:r>
      <w:r w:rsidR="00773DAF">
        <w:rPr>
          <w:rFonts w:asciiTheme="minorHAnsi" w:hAnsiTheme="minorHAnsi" w:cs="Arial"/>
          <w:noProof/>
          <w:sz w:val="22"/>
          <w:szCs w:val="22"/>
        </w:rPr>
        <w:t>. I</w:t>
      </w:r>
      <w:r w:rsidR="00773DAF" w:rsidRPr="00773DAF">
        <w:rPr>
          <w:rFonts w:asciiTheme="minorHAnsi" w:hAnsiTheme="minorHAnsi" w:cs="Arial"/>
          <w:noProof/>
          <w:sz w:val="22"/>
          <w:szCs w:val="22"/>
        </w:rPr>
        <w:t xml:space="preserve">n seven Member States </w:t>
      </w:r>
      <w:r w:rsidR="00773DAF">
        <w:rPr>
          <w:rFonts w:asciiTheme="minorHAnsi" w:hAnsiTheme="minorHAnsi" w:cs="Arial"/>
          <w:noProof/>
          <w:sz w:val="22"/>
          <w:szCs w:val="22"/>
        </w:rPr>
        <w:t xml:space="preserve">they </w:t>
      </w:r>
      <w:r w:rsidR="00773DAF" w:rsidRPr="00773DAF">
        <w:rPr>
          <w:rFonts w:asciiTheme="minorHAnsi" w:hAnsiTheme="minorHAnsi" w:cs="Arial"/>
          <w:noProof/>
          <w:sz w:val="22"/>
          <w:szCs w:val="22"/>
        </w:rPr>
        <w:t>have the same powers over intelligence services as they do over any other data controller</w:t>
      </w:r>
      <w:r w:rsidR="00773DAF">
        <w:rPr>
          <w:rFonts w:asciiTheme="minorHAnsi" w:hAnsiTheme="minorHAnsi" w:cs="Arial"/>
          <w:noProof/>
          <w:sz w:val="22"/>
          <w:szCs w:val="22"/>
        </w:rPr>
        <w:t xml:space="preserve">, in nine </w:t>
      </w:r>
      <w:r w:rsidR="00773DAF" w:rsidRPr="00773DAF">
        <w:rPr>
          <w:rFonts w:asciiTheme="minorHAnsi" w:hAnsiTheme="minorHAnsi" w:cs="Arial"/>
          <w:noProof/>
          <w:sz w:val="22"/>
          <w:szCs w:val="22"/>
        </w:rPr>
        <w:t>their powers are limited</w:t>
      </w:r>
      <w:r w:rsidR="00773DAF">
        <w:rPr>
          <w:rFonts w:asciiTheme="minorHAnsi" w:hAnsiTheme="minorHAnsi" w:cs="Arial"/>
          <w:noProof/>
          <w:sz w:val="22"/>
          <w:szCs w:val="22"/>
        </w:rPr>
        <w:t xml:space="preserve"> and in</w:t>
      </w:r>
      <w:r w:rsidR="00773DAF" w:rsidRPr="00773DAF">
        <w:rPr>
          <w:rFonts w:asciiTheme="minorHAnsi" w:hAnsiTheme="minorHAnsi" w:cs="Arial"/>
          <w:noProof/>
          <w:sz w:val="22"/>
          <w:szCs w:val="22"/>
        </w:rPr>
        <w:t xml:space="preserve"> 12 </w:t>
      </w:r>
      <w:r w:rsidR="00773DAF">
        <w:rPr>
          <w:rFonts w:asciiTheme="minorHAnsi" w:hAnsiTheme="minorHAnsi" w:cs="Arial"/>
          <w:noProof/>
          <w:sz w:val="22"/>
          <w:szCs w:val="22"/>
        </w:rPr>
        <w:t xml:space="preserve">they have </w:t>
      </w:r>
      <w:r w:rsidR="00773DAF" w:rsidRPr="00773DAF">
        <w:rPr>
          <w:rFonts w:asciiTheme="minorHAnsi" w:hAnsiTheme="minorHAnsi" w:cs="Arial"/>
          <w:noProof/>
          <w:sz w:val="22"/>
          <w:szCs w:val="22"/>
        </w:rPr>
        <w:t xml:space="preserve">no </w:t>
      </w:r>
      <w:r w:rsidR="00773DAF">
        <w:rPr>
          <w:rFonts w:asciiTheme="minorHAnsi" w:hAnsiTheme="minorHAnsi" w:cs="Arial"/>
          <w:noProof/>
          <w:sz w:val="22"/>
          <w:szCs w:val="22"/>
        </w:rPr>
        <w:t xml:space="preserve">powers </w:t>
      </w:r>
      <w:r w:rsidR="00773DAF" w:rsidRPr="00773DAF">
        <w:rPr>
          <w:rFonts w:asciiTheme="minorHAnsi" w:hAnsiTheme="minorHAnsi" w:cs="Arial"/>
          <w:noProof/>
          <w:sz w:val="22"/>
          <w:szCs w:val="22"/>
        </w:rPr>
        <w:t>over intelligence services</w:t>
      </w:r>
      <w:r w:rsidR="0077320F">
        <w:rPr>
          <w:rFonts w:asciiTheme="minorHAnsi" w:hAnsiTheme="minorHAnsi" w:cs="Arial"/>
          <w:noProof/>
          <w:sz w:val="22"/>
          <w:szCs w:val="22"/>
        </w:rPr>
        <w:t xml:space="preserve"> (See Table </w:t>
      </w:r>
      <w:r w:rsidR="00D46E52">
        <w:rPr>
          <w:rFonts w:asciiTheme="minorHAnsi" w:hAnsiTheme="minorHAnsi" w:cs="Arial"/>
          <w:noProof/>
          <w:sz w:val="22"/>
          <w:szCs w:val="22"/>
        </w:rPr>
        <w:t>3</w:t>
      </w:r>
      <w:r w:rsidR="0077320F">
        <w:rPr>
          <w:rFonts w:asciiTheme="minorHAnsi" w:hAnsiTheme="minorHAnsi" w:cs="Arial"/>
          <w:noProof/>
          <w:sz w:val="22"/>
          <w:szCs w:val="22"/>
        </w:rPr>
        <w:t>)</w:t>
      </w:r>
      <w:r w:rsidR="00015863">
        <w:rPr>
          <w:rFonts w:asciiTheme="minorHAnsi" w:hAnsiTheme="minorHAnsi" w:cs="Arial"/>
          <w:noProof/>
          <w:sz w:val="22"/>
          <w:szCs w:val="22"/>
        </w:rPr>
        <w:t>.</w:t>
      </w:r>
    </w:p>
    <w:p w14:paraId="2CE908C9" w14:textId="7B845F46" w:rsidR="004D0BE9" w:rsidRPr="004D0BE9" w:rsidRDefault="004D0BE9" w:rsidP="006F5619">
      <w:pPr>
        <w:autoSpaceDE w:val="0"/>
        <w:autoSpaceDN w:val="0"/>
        <w:adjustRightInd w:val="0"/>
        <w:jc w:val="both"/>
        <w:rPr>
          <w:rFonts w:asciiTheme="minorHAnsi" w:hAnsiTheme="minorHAnsi" w:cs="Arial"/>
          <w:b/>
          <w:noProof/>
          <w:sz w:val="22"/>
          <w:szCs w:val="22"/>
        </w:rPr>
      </w:pPr>
      <w:r w:rsidRPr="004D0BE9">
        <w:rPr>
          <w:rFonts w:asciiTheme="minorHAnsi" w:hAnsiTheme="minorHAnsi" w:cs="Arial"/>
          <w:b/>
          <w:noProof/>
          <w:sz w:val="22"/>
          <w:szCs w:val="22"/>
        </w:rPr>
        <w:t>Wh</w:t>
      </w:r>
      <w:r w:rsidR="00AD2308">
        <w:rPr>
          <w:rFonts w:asciiTheme="minorHAnsi" w:hAnsiTheme="minorHAnsi" w:cs="Arial"/>
          <w:b/>
          <w:noProof/>
          <w:sz w:val="22"/>
          <w:szCs w:val="22"/>
        </w:rPr>
        <w:t>ich remedial avenues are available</w:t>
      </w:r>
      <w:r w:rsidRPr="004D0BE9">
        <w:rPr>
          <w:rFonts w:asciiTheme="minorHAnsi" w:hAnsiTheme="minorHAnsi" w:cs="Arial"/>
          <w:b/>
          <w:noProof/>
          <w:sz w:val="22"/>
          <w:szCs w:val="22"/>
        </w:rPr>
        <w:t>?</w:t>
      </w:r>
    </w:p>
    <w:p w14:paraId="3790CF16" w14:textId="77777777" w:rsidR="004F6A89" w:rsidRDefault="004F6A89" w:rsidP="004F6A89">
      <w:pPr>
        <w:autoSpaceDE w:val="0"/>
        <w:autoSpaceDN w:val="0"/>
        <w:adjustRightInd w:val="0"/>
        <w:spacing w:before="120" w:after="120"/>
        <w:jc w:val="both"/>
        <w:rPr>
          <w:rFonts w:asciiTheme="minorHAnsi" w:hAnsiTheme="minorHAnsi" w:cs="Arial"/>
          <w:noProof/>
          <w:sz w:val="22"/>
          <w:szCs w:val="22"/>
        </w:rPr>
      </w:pPr>
      <w:r w:rsidRPr="002B45F7">
        <w:rPr>
          <w:rFonts w:asciiTheme="minorHAnsi" w:hAnsiTheme="minorHAnsi" w:cs="Arial"/>
          <w:noProof/>
          <w:sz w:val="22"/>
          <w:szCs w:val="22"/>
        </w:rPr>
        <w:t>The right to an effective remedy is an essential component of access to justice</w:t>
      </w:r>
      <w:r>
        <w:rPr>
          <w:rFonts w:asciiTheme="minorHAnsi" w:hAnsiTheme="minorHAnsi" w:cs="Arial"/>
          <w:noProof/>
          <w:sz w:val="22"/>
          <w:szCs w:val="22"/>
        </w:rPr>
        <w:t>. It</w:t>
      </w:r>
      <w:r w:rsidRPr="002B45F7">
        <w:rPr>
          <w:rFonts w:asciiTheme="minorHAnsi" w:hAnsiTheme="minorHAnsi" w:cs="Arial"/>
          <w:noProof/>
          <w:sz w:val="22"/>
          <w:szCs w:val="22"/>
        </w:rPr>
        <w:t xml:space="preserve"> allows individuals to seek redress for </w:t>
      </w:r>
      <w:r>
        <w:rPr>
          <w:rFonts w:asciiTheme="minorHAnsi" w:hAnsiTheme="minorHAnsi" w:cs="Arial"/>
          <w:noProof/>
          <w:sz w:val="22"/>
          <w:szCs w:val="22"/>
        </w:rPr>
        <w:t xml:space="preserve">rights </w:t>
      </w:r>
      <w:r w:rsidRPr="002B45F7">
        <w:rPr>
          <w:rFonts w:asciiTheme="minorHAnsi" w:hAnsiTheme="minorHAnsi" w:cs="Arial"/>
          <w:noProof/>
          <w:sz w:val="22"/>
          <w:szCs w:val="22"/>
        </w:rPr>
        <w:t>violation</w:t>
      </w:r>
      <w:r>
        <w:rPr>
          <w:rFonts w:asciiTheme="minorHAnsi" w:hAnsiTheme="minorHAnsi" w:cs="Arial"/>
          <w:noProof/>
          <w:sz w:val="22"/>
          <w:szCs w:val="22"/>
        </w:rPr>
        <w:t>s</w:t>
      </w:r>
      <w:r w:rsidRPr="002B45F7">
        <w:rPr>
          <w:rFonts w:asciiTheme="minorHAnsi" w:hAnsiTheme="minorHAnsi" w:cs="Arial"/>
          <w:noProof/>
          <w:sz w:val="22"/>
          <w:szCs w:val="22"/>
        </w:rPr>
        <w:t>.</w:t>
      </w:r>
      <w:r>
        <w:rPr>
          <w:rFonts w:asciiTheme="minorHAnsi" w:hAnsiTheme="minorHAnsi" w:cs="Arial"/>
          <w:noProof/>
          <w:sz w:val="22"/>
          <w:szCs w:val="22"/>
        </w:rPr>
        <w:t xml:space="preserve"> Previous </w:t>
      </w:r>
      <w:hyperlink r:id="rId17" w:history="1">
        <w:r w:rsidRPr="002B45F7">
          <w:rPr>
            <w:rStyle w:val="Hiperligao"/>
            <w:rFonts w:asciiTheme="minorHAnsi" w:hAnsiTheme="minorHAnsi" w:cs="Arial"/>
            <w:noProof/>
            <w:sz w:val="22"/>
            <w:szCs w:val="22"/>
          </w:rPr>
          <w:t>FRA research</w:t>
        </w:r>
      </w:hyperlink>
      <w:r>
        <w:rPr>
          <w:rFonts w:asciiTheme="minorHAnsi" w:hAnsiTheme="minorHAnsi" w:cs="Arial"/>
          <w:noProof/>
          <w:sz w:val="22"/>
          <w:szCs w:val="22"/>
        </w:rPr>
        <w:t xml:space="preserve"> </w:t>
      </w:r>
      <w:r w:rsidRPr="002B45F7">
        <w:rPr>
          <w:rFonts w:asciiTheme="minorHAnsi" w:hAnsiTheme="minorHAnsi" w:cs="Arial"/>
          <w:noProof/>
          <w:sz w:val="22"/>
          <w:szCs w:val="22"/>
        </w:rPr>
        <w:t xml:space="preserve">on access to data protection remedies </w:t>
      </w:r>
      <w:r>
        <w:rPr>
          <w:rFonts w:asciiTheme="minorHAnsi" w:hAnsiTheme="minorHAnsi" w:cs="Arial"/>
          <w:noProof/>
          <w:sz w:val="22"/>
          <w:szCs w:val="22"/>
        </w:rPr>
        <w:t xml:space="preserve">identified </w:t>
      </w:r>
      <w:r w:rsidRPr="002B45F7">
        <w:rPr>
          <w:rFonts w:asciiTheme="minorHAnsi" w:hAnsiTheme="minorHAnsi" w:cs="Arial"/>
          <w:noProof/>
          <w:sz w:val="22"/>
          <w:szCs w:val="22"/>
        </w:rPr>
        <w:t>a number of remedial avenues</w:t>
      </w:r>
      <w:r>
        <w:rPr>
          <w:rFonts w:asciiTheme="minorHAnsi" w:hAnsiTheme="minorHAnsi" w:cs="Arial"/>
          <w:noProof/>
          <w:sz w:val="22"/>
          <w:szCs w:val="22"/>
        </w:rPr>
        <w:t xml:space="preserve"> and the issues associated with them</w:t>
      </w:r>
      <w:r w:rsidRPr="002B45F7">
        <w:rPr>
          <w:rFonts w:asciiTheme="minorHAnsi" w:hAnsiTheme="minorHAnsi" w:cs="Arial"/>
          <w:noProof/>
          <w:sz w:val="22"/>
          <w:szCs w:val="22"/>
        </w:rPr>
        <w:t xml:space="preserve">. </w:t>
      </w:r>
    </w:p>
    <w:p w14:paraId="611F74AC" w14:textId="321491C4" w:rsidR="00967108" w:rsidRPr="00CC3757" w:rsidRDefault="00967108" w:rsidP="00967108">
      <w:pPr>
        <w:spacing w:before="120" w:after="120"/>
        <w:jc w:val="both"/>
        <w:rPr>
          <w:rFonts w:asciiTheme="minorHAnsi" w:hAnsiTheme="minorHAnsi" w:cs="Arial"/>
          <w:noProof/>
          <w:sz w:val="22"/>
          <w:szCs w:val="22"/>
        </w:rPr>
      </w:pPr>
      <w:r w:rsidRPr="006F5619">
        <w:rPr>
          <w:rFonts w:asciiTheme="minorHAnsi" w:hAnsiTheme="minorHAnsi" w:cs="Calibri"/>
          <w:noProof/>
          <w:sz w:val="22"/>
          <w:szCs w:val="22"/>
        </w:rPr>
        <w:t>The secrecy surrounding surveillance work impinges on the right to be notified and to have access to information which are essential for any remedial action. In eight Member States, the obligation to inform and the right to access are not provided for at all in law. In the other 20, restrictions apply</w:t>
      </w:r>
      <w:r w:rsidR="00015863">
        <w:rPr>
          <w:rFonts w:asciiTheme="minorHAnsi" w:hAnsiTheme="minorHAnsi" w:cs="Calibri"/>
          <w:noProof/>
          <w:sz w:val="22"/>
          <w:szCs w:val="22"/>
        </w:rPr>
        <w:t>,</w:t>
      </w:r>
      <w:r w:rsidR="00CC3757">
        <w:rPr>
          <w:rFonts w:asciiTheme="minorHAnsi" w:hAnsiTheme="minorHAnsi" w:cs="Calibri"/>
          <w:noProof/>
          <w:sz w:val="22"/>
          <w:szCs w:val="22"/>
        </w:rPr>
        <w:t xml:space="preserve"> such as the need to protect </w:t>
      </w:r>
      <w:r w:rsidR="00CC3757" w:rsidRPr="00CC3757">
        <w:rPr>
          <w:rFonts w:asciiTheme="minorHAnsi" w:hAnsiTheme="minorHAnsi" w:cs="Arial"/>
          <w:noProof/>
          <w:sz w:val="22"/>
          <w:szCs w:val="22"/>
        </w:rPr>
        <w:t xml:space="preserve">national security, national interests or the </w:t>
      </w:r>
      <w:r w:rsidR="00CC3757">
        <w:rPr>
          <w:rFonts w:asciiTheme="minorHAnsi" w:hAnsiTheme="minorHAnsi" w:cs="Arial"/>
          <w:noProof/>
          <w:sz w:val="22"/>
          <w:szCs w:val="22"/>
        </w:rPr>
        <w:t xml:space="preserve">reason </w:t>
      </w:r>
      <w:r w:rsidR="004F6A89">
        <w:rPr>
          <w:rFonts w:asciiTheme="minorHAnsi" w:hAnsiTheme="minorHAnsi" w:cs="Arial"/>
          <w:noProof/>
          <w:sz w:val="22"/>
          <w:szCs w:val="22"/>
        </w:rPr>
        <w:t>begind the</w:t>
      </w:r>
      <w:r w:rsidR="00CC3757">
        <w:rPr>
          <w:rFonts w:asciiTheme="minorHAnsi" w:hAnsiTheme="minorHAnsi" w:cs="Arial"/>
          <w:noProof/>
          <w:sz w:val="22"/>
          <w:szCs w:val="22"/>
        </w:rPr>
        <w:t xml:space="preserve"> </w:t>
      </w:r>
      <w:r w:rsidR="00CC3757" w:rsidRPr="00CC3757">
        <w:rPr>
          <w:rFonts w:asciiTheme="minorHAnsi" w:hAnsiTheme="minorHAnsi" w:cs="Arial"/>
          <w:noProof/>
          <w:sz w:val="22"/>
          <w:szCs w:val="22"/>
        </w:rPr>
        <w:t>surveillance.</w:t>
      </w:r>
    </w:p>
    <w:p w14:paraId="420B347F" w14:textId="42E11BCF" w:rsidR="004D718D" w:rsidRDefault="004D718D" w:rsidP="009D15BB">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N</w:t>
      </w:r>
      <w:r w:rsidRPr="002B45F7">
        <w:rPr>
          <w:rFonts w:asciiTheme="minorHAnsi" w:hAnsiTheme="minorHAnsi" w:cs="Arial"/>
          <w:noProof/>
          <w:sz w:val="22"/>
          <w:szCs w:val="22"/>
        </w:rPr>
        <w:t xml:space="preserve">on-judicial bodies </w:t>
      </w:r>
      <w:r w:rsidR="00015863">
        <w:rPr>
          <w:rFonts w:asciiTheme="minorHAnsi" w:hAnsiTheme="minorHAnsi" w:cs="Arial"/>
          <w:noProof/>
          <w:sz w:val="22"/>
          <w:szCs w:val="22"/>
        </w:rPr>
        <w:t>-</w:t>
      </w:r>
      <w:r>
        <w:rPr>
          <w:rFonts w:asciiTheme="minorHAnsi" w:hAnsiTheme="minorHAnsi" w:cs="Arial"/>
          <w:noProof/>
          <w:sz w:val="22"/>
          <w:szCs w:val="22"/>
        </w:rPr>
        <w:t xml:space="preserve"> expert (including DPAs), executive and parliamentary oversight bodies </w:t>
      </w:r>
      <w:r w:rsidRPr="002B45F7">
        <w:rPr>
          <w:rFonts w:asciiTheme="minorHAnsi" w:hAnsiTheme="minorHAnsi" w:cs="Arial"/>
          <w:noProof/>
          <w:sz w:val="22"/>
          <w:szCs w:val="22"/>
        </w:rPr>
        <w:t xml:space="preserve">and ombudsperson institutions </w:t>
      </w:r>
      <w:r>
        <w:rPr>
          <w:rFonts w:asciiTheme="minorHAnsi" w:hAnsiTheme="minorHAnsi" w:cs="Arial"/>
          <w:noProof/>
          <w:sz w:val="22"/>
          <w:szCs w:val="22"/>
        </w:rPr>
        <w:t xml:space="preserve">- </w:t>
      </w:r>
      <w:r w:rsidRPr="002B45F7">
        <w:rPr>
          <w:rFonts w:asciiTheme="minorHAnsi" w:hAnsiTheme="minorHAnsi" w:cs="Arial"/>
          <w:noProof/>
          <w:sz w:val="22"/>
          <w:szCs w:val="22"/>
        </w:rPr>
        <w:t>play an important remedial role</w:t>
      </w:r>
      <w:r>
        <w:rPr>
          <w:rFonts w:asciiTheme="minorHAnsi" w:hAnsiTheme="minorHAnsi" w:cs="Arial"/>
          <w:noProof/>
          <w:sz w:val="22"/>
          <w:szCs w:val="22"/>
        </w:rPr>
        <w:t xml:space="preserve"> </w:t>
      </w:r>
      <w:r w:rsidR="004F6A89">
        <w:rPr>
          <w:rFonts w:asciiTheme="minorHAnsi" w:hAnsiTheme="minorHAnsi" w:cs="Arial"/>
          <w:noProof/>
          <w:sz w:val="22"/>
          <w:szCs w:val="22"/>
        </w:rPr>
        <w:t xml:space="preserve">also </w:t>
      </w:r>
      <w:r>
        <w:rPr>
          <w:rFonts w:asciiTheme="minorHAnsi" w:hAnsiTheme="minorHAnsi" w:cs="Arial"/>
          <w:noProof/>
          <w:sz w:val="22"/>
          <w:szCs w:val="22"/>
        </w:rPr>
        <w:t>in surveillance</w:t>
      </w:r>
      <w:r w:rsidR="004F6A89">
        <w:rPr>
          <w:rFonts w:asciiTheme="minorHAnsi" w:hAnsiTheme="minorHAnsi" w:cs="Arial"/>
          <w:noProof/>
          <w:sz w:val="22"/>
          <w:szCs w:val="22"/>
        </w:rPr>
        <w:t xml:space="preserve"> cases</w:t>
      </w:r>
      <w:r>
        <w:rPr>
          <w:rFonts w:asciiTheme="minorHAnsi" w:hAnsiTheme="minorHAnsi" w:cs="Arial"/>
          <w:noProof/>
          <w:sz w:val="22"/>
          <w:szCs w:val="22"/>
        </w:rPr>
        <w:t xml:space="preserve">. However, </w:t>
      </w:r>
      <w:r w:rsidR="00C76EED">
        <w:rPr>
          <w:rFonts w:asciiTheme="minorHAnsi" w:hAnsiTheme="minorHAnsi" w:cs="Arial"/>
          <w:noProof/>
          <w:sz w:val="22"/>
          <w:szCs w:val="22"/>
        </w:rPr>
        <w:t>different bodies playing different roles with different powers</w:t>
      </w:r>
      <w:r>
        <w:rPr>
          <w:rFonts w:asciiTheme="minorHAnsi" w:hAnsiTheme="minorHAnsi" w:cs="Arial"/>
          <w:noProof/>
          <w:sz w:val="22"/>
          <w:szCs w:val="22"/>
        </w:rPr>
        <w:t xml:space="preserve"> coupled with the </w:t>
      </w:r>
      <w:r w:rsidR="00C76EED">
        <w:rPr>
          <w:rFonts w:asciiTheme="minorHAnsi" w:hAnsiTheme="minorHAnsi" w:cs="Arial"/>
          <w:noProof/>
          <w:sz w:val="22"/>
          <w:szCs w:val="22"/>
        </w:rPr>
        <w:t xml:space="preserve">large </w:t>
      </w:r>
      <w:r>
        <w:rPr>
          <w:rFonts w:asciiTheme="minorHAnsi" w:hAnsiTheme="minorHAnsi" w:cs="Arial"/>
          <w:noProof/>
          <w:sz w:val="22"/>
          <w:szCs w:val="22"/>
        </w:rPr>
        <w:t xml:space="preserve">amount of data collected </w:t>
      </w:r>
      <w:r w:rsidRPr="00C01F26">
        <w:rPr>
          <w:rFonts w:asciiTheme="minorHAnsi" w:hAnsiTheme="minorHAnsi" w:cs="Arial"/>
          <w:noProof/>
          <w:sz w:val="22"/>
          <w:szCs w:val="22"/>
        </w:rPr>
        <w:t>ma</w:t>
      </w:r>
      <w:r>
        <w:rPr>
          <w:rFonts w:asciiTheme="minorHAnsi" w:hAnsiTheme="minorHAnsi" w:cs="Arial"/>
          <w:noProof/>
          <w:sz w:val="22"/>
          <w:szCs w:val="22"/>
        </w:rPr>
        <w:t>k</w:t>
      </w:r>
      <w:r w:rsidRPr="00C01F26">
        <w:rPr>
          <w:rFonts w:asciiTheme="minorHAnsi" w:hAnsiTheme="minorHAnsi" w:cs="Arial"/>
          <w:noProof/>
          <w:sz w:val="22"/>
          <w:szCs w:val="22"/>
        </w:rPr>
        <w:t xml:space="preserve">e </w:t>
      </w:r>
      <w:r>
        <w:rPr>
          <w:rFonts w:asciiTheme="minorHAnsi" w:hAnsiTheme="minorHAnsi" w:cs="Arial"/>
          <w:noProof/>
          <w:sz w:val="22"/>
          <w:szCs w:val="22"/>
        </w:rPr>
        <w:t xml:space="preserve">it difficult </w:t>
      </w:r>
      <w:r w:rsidR="00015863">
        <w:rPr>
          <w:rFonts w:asciiTheme="minorHAnsi" w:hAnsiTheme="minorHAnsi" w:cs="Arial"/>
          <w:noProof/>
          <w:sz w:val="22"/>
          <w:szCs w:val="22"/>
        </w:rPr>
        <w:t>to take</w:t>
      </w:r>
      <w:r>
        <w:rPr>
          <w:rFonts w:asciiTheme="minorHAnsi" w:hAnsiTheme="minorHAnsi" w:cs="Arial"/>
          <w:noProof/>
          <w:sz w:val="22"/>
          <w:szCs w:val="22"/>
        </w:rPr>
        <w:t xml:space="preserve"> remedial action.</w:t>
      </w:r>
    </w:p>
    <w:p w14:paraId="7EB7CA40" w14:textId="37D35E48" w:rsidR="003A016A" w:rsidRPr="003A016A" w:rsidRDefault="004D0BE9" w:rsidP="0033513E">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I</w:t>
      </w:r>
      <w:r w:rsidR="006523B0">
        <w:rPr>
          <w:rFonts w:asciiTheme="minorHAnsi" w:hAnsiTheme="minorHAnsi" w:cs="Arial"/>
          <w:noProof/>
          <w:sz w:val="22"/>
          <w:szCs w:val="22"/>
        </w:rPr>
        <w:t xml:space="preserve">n most Member States, </w:t>
      </w:r>
      <w:r w:rsidR="00711AF7">
        <w:rPr>
          <w:rFonts w:asciiTheme="minorHAnsi" w:hAnsiTheme="minorHAnsi" w:cs="Arial"/>
          <w:noProof/>
          <w:sz w:val="22"/>
          <w:szCs w:val="22"/>
        </w:rPr>
        <w:t>DPAs can deal with</w:t>
      </w:r>
      <w:r w:rsidR="006523B0">
        <w:rPr>
          <w:rFonts w:asciiTheme="minorHAnsi" w:hAnsiTheme="minorHAnsi" w:cs="Arial"/>
          <w:noProof/>
          <w:sz w:val="22"/>
          <w:szCs w:val="22"/>
        </w:rPr>
        <w:t xml:space="preserve"> with</w:t>
      </w:r>
      <w:r w:rsidR="00711AF7">
        <w:rPr>
          <w:rFonts w:asciiTheme="minorHAnsi" w:hAnsiTheme="minorHAnsi" w:cs="Arial"/>
          <w:noProof/>
          <w:sz w:val="22"/>
          <w:szCs w:val="22"/>
        </w:rPr>
        <w:t xml:space="preserve"> </w:t>
      </w:r>
      <w:r>
        <w:rPr>
          <w:rFonts w:asciiTheme="minorHAnsi" w:hAnsiTheme="minorHAnsi" w:cs="Arial"/>
          <w:noProof/>
          <w:sz w:val="22"/>
          <w:szCs w:val="22"/>
        </w:rPr>
        <w:t>most</w:t>
      </w:r>
      <w:r w:rsidR="006523B0">
        <w:rPr>
          <w:rFonts w:asciiTheme="minorHAnsi" w:hAnsiTheme="minorHAnsi" w:cs="Arial"/>
          <w:noProof/>
          <w:sz w:val="22"/>
          <w:szCs w:val="22"/>
        </w:rPr>
        <w:t xml:space="preserve"> complaints</w:t>
      </w:r>
      <w:r w:rsidR="00711AF7">
        <w:rPr>
          <w:rFonts w:asciiTheme="minorHAnsi" w:hAnsiTheme="minorHAnsi" w:cs="Arial"/>
          <w:noProof/>
          <w:sz w:val="22"/>
          <w:szCs w:val="22"/>
        </w:rPr>
        <w:t xml:space="preserve"> about privacy violation</w:t>
      </w:r>
      <w:r w:rsidR="0077320F">
        <w:rPr>
          <w:rFonts w:asciiTheme="minorHAnsi" w:hAnsiTheme="minorHAnsi" w:cs="Arial"/>
          <w:noProof/>
          <w:sz w:val="22"/>
          <w:szCs w:val="22"/>
        </w:rPr>
        <w:t>s</w:t>
      </w:r>
      <w:r w:rsidR="00711AF7">
        <w:rPr>
          <w:rFonts w:asciiTheme="minorHAnsi" w:hAnsiTheme="minorHAnsi" w:cs="Arial"/>
          <w:noProof/>
          <w:sz w:val="22"/>
          <w:szCs w:val="22"/>
        </w:rPr>
        <w:t xml:space="preserve"> because of surveillance</w:t>
      </w:r>
      <w:r w:rsidR="006523B0">
        <w:rPr>
          <w:rFonts w:asciiTheme="minorHAnsi" w:hAnsiTheme="minorHAnsi" w:cs="Arial"/>
          <w:noProof/>
          <w:sz w:val="22"/>
          <w:szCs w:val="22"/>
        </w:rPr>
        <w:t>. In 13 Member States</w:t>
      </w:r>
      <w:r w:rsidR="00CC7A3E">
        <w:rPr>
          <w:rFonts w:asciiTheme="minorHAnsi" w:hAnsiTheme="minorHAnsi" w:cs="Arial"/>
          <w:noProof/>
          <w:sz w:val="22"/>
          <w:szCs w:val="22"/>
        </w:rPr>
        <w:t>,</w:t>
      </w:r>
      <w:r w:rsidR="006523B0">
        <w:rPr>
          <w:rFonts w:asciiTheme="minorHAnsi" w:hAnsiTheme="minorHAnsi" w:cs="Arial"/>
          <w:noProof/>
          <w:sz w:val="22"/>
          <w:szCs w:val="22"/>
        </w:rPr>
        <w:t xml:space="preserve"> DPAs can deal with complaints and issue binding decisions</w:t>
      </w:r>
      <w:r w:rsidR="003A016A">
        <w:rPr>
          <w:rFonts w:asciiTheme="minorHAnsi" w:hAnsiTheme="minorHAnsi" w:cs="Arial"/>
          <w:noProof/>
          <w:sz w:val="22"/>
          <w:szCs w:val="22"/>
        </w:rPr>
        <w:t xml:space="preserve"> but in eight </w:t>
      </w:r>
      <w:r w:rsidR="006523B0">
        <w:rPr>
          <w:rFonts w:asciiTheme="minorHAnsi" w:hAnsiTheme="minorHAnsi" w:cs="Arial"/>
          <w:noProof/>
          <w:sz w:val="22"/>
          <w:szCs w:val="22"/>
        </w:rPr>
        <w:t xml:space="preserve">of these, </w:t>
      </w:r>
      <w:r w:rsidR="003A016A">
        <w:rPr>
          <w:rFonts w:asciiTheme="minorHAnsi" w:hAnsiTheme="minorHAnsi" w:cs="Arial"/>
          <w:noProof/>
          <w:sz w:val="22"/>
          <w:szCs w:val="22"/>
        </w:rPr>
        <w:t xml:space="preserve">there are constraints such as limited access </w:t>
      </w:r>
      <w:r w:rsidR="00CC3757">
        <w:rPr>
          <w:rFonts w:asciiTheme="minorHAnsi" w:hAnsiTheme="minorHAnsi" w:cs="Arial"/>
          <w:noProof/>
          <w:sz w:val="22"/>
          <w:szCs w:val="22"/>
        </w:rPr>
        <w:t>to files or the intelligence services premises</w:t>
      </w:r>
      <w:r w:rsidR="0077320F">
        <w:rPr>
          <w:rFonts w:asciiTheme="minorHAnsi" w:hAnsiTheme="minorHAnsi" w:cs="Arial"/>
          <w:noProof/>
          <w:sz w:val="22"/>
          <w:szCs w:val="22"/>
        </w:rPr>
        <w:t xml:space="preserve"> (See Figure </w:t>
      </w:r>
      <w:r w:rsidR="00D46E52">
        <w:rPr>
          <w:rFonts w:asciiTheme="minorHAnsi" w:hAnsiTheme="minorHAnsi" w:cs="Arial"/>
          <w:noProof/>
          <w:sz w:val="22"/>
          <w:szCs w:val="22"/>
        </w:rPr>
        <w:t>6</w:t>
      </w:r>
      <w:r w:rsidR="0077320F">
        <w:rPr>
          <w:rFonts w:asciiTheme="minorHAnsi" w:hAnsiTheme="minorHAnsi" w:cs="Arial"/>
          <w:noProof/>
          <w:sz w:val="22"/>
          <w:szCs w:val="22"/>
        </w:rPr>
        <w:t>)</w:t>
      </w:r>
      <w:r w:rsidR="003A016A">
        <w:rPr>
          <w:rFonts w:asciiTheme="minorHAnsi" w:hAnsiTheme="minorHAnsi" w:cs="Arial"/>
          <w:noProof/>
          <w:sz w:val="22"/>
          <w:szCs w:val="22"/>
        </w:rPr>
        <w:t xml:space="preserve">. </w:t>
      </w:r>
      <w:r w:rsidR="00711AF7">
        <w:rPr>
          <w:rFonts w:asciiTheme="minorHAnsi" w:hAnsiTheme="minorHAnsi" w:cs="Arial"/>
          <w:noProof/>
          <w:sz w:val="22"/>
          <w:szCs w:val="22"/>
        </w:rPr>
        <w:t xml:space="preserve">In seven Member States, there are also expert oversight bodies </w:t>
      </w:r>
      <w:r w:rsidR="00711AF7" w:rsidRPr="003A016A">
        <w:rPr>
          <w:rFonts w:asciiTheme="minorHAnsi" w:hAnsiTheme="minorHAnsi" w:cs="Arial"/>
          <w:noProof/>
          <w:sz w:val="22"/>
          <w:szCs w:val="22"/>
        </w:rPr>
        <w:t xml:space="preserve">(other than DPAs) </w:t>
      </w:r>
      <w:r w:rsidR="00711AF7">
        <w:rPr>
          <w:rFonts w:asciiTheme="minorHAnsi" w:hAnsiTheme="minorHAnsi" w:cs="Arial"/>
          <w:noProof/>
          <w:sz w:val="22"/>
          <w:szCs w:val="22"/>
        </w:rPr>
        <w:t>which have the power to provide remed</w:t>
      </w:r>
      <w:r w:rsidR="00CC3757">
        <w:rPr>
          <w:rFonts w:asciiTheme="minorHAnsi" w:hAnsiTheme="minorHAnsi" w:cs="Arial"/>
          <w:noProof/>
          <w:sz w:val="22"/>
          <w:szCs w:val="22"/>
        </w:rPr>
        <w:t>ies</w:t>
      </w:r>
      <w:r w:rsidR="003A016A">
        <w:rPr>
          <w:rFonts w:asciiTheme="minorHAnsi" w:hAnsiTheme="minorHAnsi" w:cs="Arial"/>
          <w:noProof/>
          <w:sz w:val="22"/>
          <w:szCs w:val="22"/>
        </w:rPr>
        <w:t xml:space="preserve">, of which only five can issue binding decisions. </w:t>
      </w:r>
      <w:r w:rsidR="003A016A" w:rsidRPr="003A016A">
        <w:rPr>
          <w:rFonts w:asciiTheme="minorHAnsi" w:hAnsiTheme="minorHAnsi" w:cs="Arial"/>
          <w:noProof/>
          <w:sz w:val="22"/>
          <w:szCs w:val="22"/>
        </w:rPr>
        <w:t xml:space="preserve">Parliamentary committees in </w:t>
      </w:r>
      <w:r w:rsidR="00512F43">
        <w:rPr>
          <w:rFonts w:asciiTheme="minorHAnsi" w:hAnsiTheme="minorHAnsi" w:cs="Arial"/>
          <w:noProof/>
          <w:sz w:val="22"/>
          <w:szCs w:val="22"/>
        </w:rPr>
        <w:t>four</w:t>
      </w:r>
      <w:r w:rsidR="00512F43" w:rsidRPr="003A016A">
        <w:rPr>
          <w:rFonts w:asciiTheme="minorHAnsi" w:hAnsiTheme="minorHAnsi" w:cs="Arial"/>
          <w:noProof/>
          <w:sz w:val="22"/>
          <w:szCs w:val="22"/>
        </w:rPr>
        <w:t xml:space="preserve"> </w:t>
      </w:r>
      <w:r w:rsidR="003A016A" w:rsidRPr="003A016A">
        <w:rPr>
          <w:rFonts w:asciiTheme="minorHAnsi" w:hAnsiTheme="minorHAnsi" w:cs="Arial"/>
          <w:noProof/>
          <w:sz w:val="22"/>
          <w:szCs w:val="22"/>
        </w:rPr>
        <w:t xml:space="preserve">Member States are entitled to hear individual complaints but </w:t>
      </w:r>
      <w:r w:rsidR="00CC7A3E">
        <w:rPr>
          <w:rFonts w:asciiTheme="minorHAnsi" w:hAnsiTheme="minorHAnsi" w:cs="Arial"/>
          <w:noProof/>
          <w:sz w:val="22"/>
          <w:szCs w:val="22"/>
        </w:rPr>
        <w:t>only</w:t>
      </w:r>
      <w:r w:rsidR="00AC4575">
        <w:rPr>
          <w:rFonts w:asciiTheme="minorHAnsi" w:hAnsiTheme="minorHAnsi" w:cs="Arial"/>
          <w:noProof/>
          <w:sz w:val="22"/>
          <w:szCs w:val="22"/>
        </w:rPr>
        <w:t xml:space="preserve"> </w:t>
      </w:r>
      <w:r w:rsidR="00015863">
        <w:rPr>
          <w:rFonts w:asciiTheme="minorHAnsi" w:hAnsiTheme="minorHAnsi" w:cs="Arial"/>
          <w:noProof/>
          <w:sz w:val="22"/>
          <w:szCs w:val="22"/>
        </w:rPr>
        <w:t xml:space="preserve">in </w:t>
      </w:r>
      <w:r w:rsidR="00CC7A3E">
        <w:rPr>
          <w:rFonts w:asciiTheme="minorHAnsi" w:hAnsiTheme="minorHAnsi" w:cs="Arial"/>
          <w:noProof/>
          <w:sz w:val="22"/>
          <w:szCs w:val="22"/>
        </w:rPr>
        <w:t>Romania</w:t>
      </w:r>
      <w:r w:rsidR="003A016A" w:rsidRPr="003A016A">
        <w:rPr>
          <w:rFonts w:asciiTheme="minorHAnsi" w:hAnsiTheme="minorHAnsi" w:cs="Arial"/>
          <w:noProof/>
          <w:sz w:val="22"/>
          <w:szCs w:val="22"/>
        </w:rPr>
        <w:t xml:space="preserve"> can </w:t>
      </w:r>
      <w:r w:rsidR="00CC7A3E">
        <w:rPr>
          <w:rFonts w:asciiTheme="minorHAnsi" w:hAnsiTheme="minorHAnsi" w:cs="Arial"/>
          <w:noProof/>
          <w:sz w:val="22"/>
          <w:szCs w:val="22"/>
        </w:rPr>
        <w:t xml:space="preserve">they </w:t>
      </w:r>
      <w:r w:rsidR="003A016A" w:rsidRPr="003A016A">
        <w:rPr>
          <w:rFonts w:asciiTheme="minorHAnsi" w:hAnsiTheme="minorHAnsi" w:cs="Arial"/>
          <w:noProof/>
          <w:sz w:val="22"/>
          <w:szCs w:val="22"/>
        </w:rPr>
        <w:t xml:space="preserve">resolve them via a binding decision. </w:t>
      </w:r>
      <w:r w:rsidR="003A016A">
        <w:rPr>
          <w:rFonts w:asciiTheme="minorHAnsi" w:hAnsiTheme="minorHAnsi" w:cs="Arial"/>
          <w:noProof/>
          <w:sz w:val="22"/>
          <w:szCs w:val="22"/>
        </w:rPr>
        <w:t xml:space="preserve">Only </w:t>
      </w:r>
      <w:r w:rsidR="00CC7A3E">
        <w:rPr>
          <w:rFonts w:asciiTheme="minorHAnsi" w:hAnsiTheme="minorHAnsi" w:cs="Arial"/>
          <w:noProof/>
          <w:sz w:val="22"/>
          <w:szCs w:val="22"/>
        </w:rPr>
        <w:t>the Netherlands</w:t>
      </w:r>
      <w:r w:rsidR="003A016A">
        <w:rPr>
          <w:rFonts w:asciiTheme="minorHAnsi" w:hAnsiTheme="minorHAnsi" w:cs="Arial"/>
          <w:noProof/>
          <w:sz w:val="22"/>
          <w:szCs w:val="22"/>
        </w:rPr>
        <w:t xml:space="preserve"> has granted </w:t>
      </w:r>
      <w:r w:rsidR="003A016A" w:rsidRPr="003A016A">
        <w:rPr>
          <w:rFonts w:asciiTheme="minorHAnsi" w:hAnsiTheme="minorHAnsi" w:cs="Arial"/>
          <w:noProof/>
          <w:sz w:val="22"/>
          <w:szCs w:val="22"/>
        </w:rPr>
        <w:t xml:space="preserve">the ombudsperson institution remedial powers </w:t>
      </w:r>
      <w:r w:rsidR="001B1465">
        <w:rPr>
          <w:rFonts w:asciiTheme="minorHAnsi" w:hAnsiTheme="minorHAnsi" w:cs="Arial"/>
          <w:noProof/>
          <w:sz w:val="22"/>
          <w:szCs w:val="22"/>
        </w:rPr>
        <w:t>under</w:t>
      </w:r>
      <w:r w:rsidR="003A016A" w:rsidRPr="003A016A">
        <w:rPr>
          <w:rFonts w:asciiTheme="minorHAnsi" w:hAnsiTheme="minorHAnsi" w:cs="Arial"/>
          <w:noProof/>
          <w:sz w:val="22"/>
          <w:szCs w:val="22"/>
        </w:rPr>
        <w:t xml:space="preserve"> the relevant intelligence law</w:t>
      </w:r>
      <w:r w:rsidR="003A016A">
        <w:rPr>
          <w:rFonts w:asciiTheme="minorHAnsi" w:hAnsiTheme="minorHAnsi" w:cs="Arial"/>
          <w:noProof/>
          <w:sz w:val="22"/>
          <w:szCs w:val="22"/>
        </w:rPr>
        <w:t>.</w:t>
      </w:r>
    </w:p>
    <w:p w14:paraId="13D5AD9A" w14:textId="518AE52A" w:rsidR="00DA597B" w:rsidRDefault="004D718D" w:rsidP="009D15BB">
      <w:pPr>
        <w:autoSpaceDE w:val="0"/>
        <w:autoSpaceDN w:val="0"/>
        <w:adjustRightInd w:val="0"/>
        <w:spacing w:before="120" w:after="120"/>
        <w:jc w:val="both"/>
        <w:rPr>
          <w:rFonts w:asciiTheme="minorHAnsi" w:hAnsiTheme="minorHAnsi" w:cs="Arial"/>
          <w:noProof/>
          <w:sz w:val="22"/>
          <w:szCs w:val="22"/>
        </w:rPr>
      </w:pPr>
      <w:r w:rsidRPr="00291EE8">
        <w:rPr>
          <w:rFonts w:asciiTheme="minorHAnsi" w:hAnsiTheme="minorHAnsi" w:cs="Arial"/>
          <w:noProof/>
          <w:sz w:val="22"/>
          <w:szCs w:val="22"/>
        </w:rPr>
        <w:t>Every Member State gives individuals the possibility to complain about privacy violations via the courts</w:t>
      </w:r>
      <w:r>
        <w:rPr>
          <w:rFonts w:asciiTheme="minorHAnsi" w:hAnsiTheme="minorHAnsi" w:cs="Arial"/>
          <w:noProof/>
          <w:sz w:val="22"/>
          <w:szCs w:val="22"/>
        </w:rPr>
        <w:t xml:space="preserve">. </w:t>
      </w:r>
      <w:r w:rsidR="00DA597B">
        <w:rPr>
          <w:rFonts w:asciiTheme="minorHAnsi" w:hAnsiTheme="minorHAnsi" w:cs="Arial"/>
          <w:noProof/>
          <w:sz w:val="22"/>
          <w:szCs w:val="22"/>
        </w:rPr>
        <w:t>Although courts can be used, general access to justice barriers such as costly and lengthy procedures</w:t>
      </w:r>
      <w:r w:rsidR="00AC4575">
        <w:rPr>
          <w:rFonts w:asciiTheme="minorHAnsi" w:hAnsiTheme="minorHAnsi" w:cs="Arial"/>
          <w:noProof/>
          <w:sz w:val="22"/>
          <w:szCs w:val="22"/>
        </w:rPr>
        <w:t xml:space="preserve"> </w:t>
      </w:r>
      <w:r w:rsidR="004F6A89">
        <w:rPr>
          <w:rFonts w:asciiTheme="minorHAnsi" w:hAnsiTheme="minorHAnsi" w:cs="Arial"/>
          <w:noProof/>
          <w:sz w:val="22"/>
          <w:szCs w:val="22"/>
        </w:rPr>
        <w:t xml:space="preserve">apply </w:t>
      </w:r>
      <w:r w:rsidR="00AC4575">
        <w:rPr>
          <w:rFonts w:asciiTheme="minorHAnsi" w:hAnsiTheme="minorHAnsi" w:cs="Arial"/>
          <w:noProof/>
          <w:sz w:val="22"/>
          <w:szCs w:val="22"/>
        </w:rPr>
        <w:t>a</w:t>
      </w:r>
      <w:r w:rsidR="004F6A89">
        <w:rPr>
          <w:rFonts w:asciiTheme="minorHAnsi" w:hAnsiTheme="minorHAnsi" w:cs="Arial"/>
          <w:noProof/>
          <w:sz w:val="22"/>
          <w:szCs w:val="22"/>
        </w:rPr>
        <w:t xml:space="preserve">s well as the </w:t>
      </w:r>
      <w:r w:rsidR="00786E87">
        <w:rPr>
          <w:rFonts w:asciiTheme="minorHAnsi" w:hAnsiTheme="minorHAnsi" w:cs="Arial"/>
          <w:noProof/>
          <w:sz w:val="22"/>
          <w:szCs w:val="22"/>
        </w:rPr>
        <w:t xml:space="preserve">difficulties surrounding providing </w:t>
      </w:r>
      <w:r w:rsidR="00AC4575">
        <w:rPr>
          <w:rFonts w:asciiTheme="minorHAnsi" w:hAnsiTheme="minorHAnsi" w:cs="Arial"/>
          <w:noProof/>
          <w:sz w:val="22"/>
          <w:szCs w:val="22"/>
        </w:rPr>
        <w:t>eviden</w:t>
      </w:r>
      <w:r w:rsidR="00786E87">
        <w:rPr>
          <w:rFonts w:asciiTheme="minorHAnsi" w:hAnsiTheme="minorHAnsi" w:cs="Arial"/>
          <w:noProof/>
          <w:sz w:val="22"/>
          <w:szCs w:val="22"/>
        </w:rPr>
        <w:t>ce</w:t>
      </w:r>
      <w:r w:rsidR="00DA597B">
        <w:rPr>
          <w:rFonts w:asciiTheme="minorHAnsi" w:hAnsiTheme="minorHAnsi" w:cs="Arial"/>
          <w:noProof/>
          <w:sz w:val="22"/>
          <w:szCs w:val="22"/>
        </w:rPr>
        <w:t>. In addition, judges</w:t>
      </w:r>
      <w:r w:rsidR="00AC7472">
        <w:rPr>
          <w:rFonts w:asciiTheme="minorHAnsi" w:hAnsiTheme="minorHAnsi" w:cs="Arial"/>
          <w:noProof/>
          <w:sz w:val="22"/>
          <w:szCs w:val="22"/>
        </w:rPr>
        <w:t>, unless specialised,</w:t>
      </w:r>
      <w:r w:rsidR="00DA597B">
        <w:rPr>
          <w:rFonts w:asciiTheme="minorHAnsi" w:hAnsiTheme="minorHAnsi" w:cs="Arial"/>
          <w:noProof/>
          <w:sz w:val="22"/>
          <w:szCs w:val="22"/>
        </w:rPr>
        <w:t xml:space="preserve"> </w:t>
      </w:r>
      <w:r w:rsidR="00AC7472">
        <w:rPr>
          <w:rFonts w:asciiTheme="minorHAnsi" w:hAnsiTheme="minorHAnsi" w:cs="Arial"/>
          <w:noProof/>
          <w:sz w:val="22"/>
          <w:szCs w:val="22"/>
        </w:rPr>
        <w:t>m</w:t>
      </w:r>
      <w:r w:rsidR="004E6508">
        <w:rPr>
          <w:rFonts w:asciiTheme="minorHAnsi" w:hAnsiTheme="minorHAnsi" w:cs="Arial"/>
          <w:noProof/>
          <w:sz w:val="22"/>
          <w:szCs w:val="22"/>
        </w:rPr>
        <w:t>ay</w:t>
      </w:r>
      <w:r w:rsidR="00DA597B">
        <w:rPr>
          <w:rFonts w:asciiTheme="minorHAnsi" w:hAnsiTheme="minorHAnsi" w:cs="Arial"/>
          <w:noProof/>
          <w:sz w:val="22"/>
          <w:szCs w:val="22"/>
        </w:rPr>
        <w:t xml:space="preserve"> lack the specialist knowledge to tackle such cases.</w:t>
      </w:r>
    </w:p>
    <w:p w14:paraId="6BD6F0D5" w14:textId="77777777" w:rsidR="001F1F1F" w:rsidRPr="00FB15AA" w:rsidRDefault="00241588" w:rsidP="00FB15AA">
      <w:pPr>
        <w:autoSpaceDE w:val="0"/>
        <w:autoSpaceDN w:val="0"/>
        <w:adjustRightInd w:val="0"/>
        <w:jc w:val="both"/>
        <w:rPr>
          <w:rFonts w:asciiTheme="minorHAnsi" w:hAnsiTheme="minorHAnsi" w:cs="Arial"/>
          <w:b/>
          <w:noProof/>
          <w:sz w:val="22"/>
          <w:szCs w:val="22"/>
        </w:rPr>
      </w:pPr>
      <w:r w:rsidRPr="00FB15AA">
        <w:rPr>
          <w:rFonts w:asciiTheme="minorHAnsi" w:hAnsiTheme="minorHAnsi" w:cs="Arial"/>
          <w:b/>
          <w:noProof/>
          <w:sz w:val="22"/>
          <w:szCs w:val="22"/>
        </w:rPr>
        <w:t>What can be done to improve the situation?</w:t>
      </w:r>
    </w:p>
    <w:p w14:paraId="2FE217B0" w14:textId="533ACE80" w:rsidR="00E47A5C" w:rsidRPr="00FB15AA" w:rsidRDefault="00540C38" w:rsidP="006F5619">
      <w:pPr>
        <w:autoSpaceDE w:val="0"/>
        <w:autoSpaceDN w:val="0"/>
        <w:adjustRightInd w:val="0"/>
        <w:spacing w:before="120" w:after="120"/>
        <w:jc w:val="both"/>
        <w:rPr>
          <w:rFonts w:asciiTheme="minorHAnsi" w:hAnsiTheme="minorHAnsi" w:cs="Arial"/>
          <w:noProof/>
          <w:sz w:val="22"/>
          <w:szCs w:val="22"/>
        </w:rPr>
      </w:pPr>
      <w:r>
        <w:rPr>
          <w:rFonts w:asciiTheme="minorHAnsi" w:hAnsiTheme="minorHAnsi" w:cs="Arial"/>
          <w:noProof/>
          <w:sz w:val="22"/>
          <w:szCs w:val="22"/>
        </w:rPr>
        <w:t xml:space="preserve">The legal analysis points to the need to strengthen the national legal frameworks that govern surveillance. Efforts should be made to ensure laws </w:t>
      </w:r>
      <w:r w:rsidR="00BB6AAB">
        <w:rPr>
          <w:rFonts w:asciiTheme="minorHAnsi" w:hAnsiTheme="minorHAnsi" w:cs="Arial"/>
          <w:noProof/>
          <w:sz w:val="22"/>
          <w:szCs w:val="22"/>
        </w:rPr>
        <w:t xml:space="preserve">are clearly understood by all concerned and that they </w:t>
      </w:r>
      <w:r>
        <w:rPr>
          <w:rFonts w:asciiTheme="minorHAnsi" w:hAnsiTheme="minorHAnsi" w:cs="Arial"/>
          <w:noProof/>
          <w:sz w:val="22"/>
          <w:szCs w:val="22"/>
        </w:rPr>
        <w:t xml:space="preserve">provide comprehensive oversight mechanisms </w:t>
      </w:r>
      <w:r w:rsidR="00786E87">
        <w:rPr>
          <w:rFonts w:asciiTheme="minorHAnsi" w:hAnsiTheme="minorHAnsi" w:cs="Arial"/>
          <w:noProof/>
          <w:sz w:val="22"/>
          <w:szCs w:val="22"/>
        </w:rPr>
        <w:t xml:space="preserve">thar are </w:t>
      </w:r>
      <w:r w:rsidR="004D718D">
        <w:rPr>
          <w:rFonts w:asciiTheme="minorHAnsi" w:hAnsiTheme="minorHAnsi" w:cs="Arial"/>
          <w:noProof/>
          <w:sz w:val="22"/>
          <w:szCs w:val="22"/>
        </w:rPr>
        <w:t xml:space="preserve">effective </w:t>
      </w:r>
      <w:r>
        <w:rPr>
          <w:rFonts w:asciiTheme="minorHAnsi" w:hAnsiTheme="minorHAnsi" w:cs="Arial"/>
          <w:noProof/>
          <w:sz w:val="22"/>
          <w:szCs w:val="22"/>
        </w:rPr>
        <w:t xml:space="preserve">and </w:t>
      </w:r>
      <w:r w:rsidR="00786E87">
        <w:rPr>
          <w:rFonts w:asciiTheme="minorHAnsi" w:hAnsiTheme="minorHAnsi" w:cs="Arial"/>
          <w:noProof/>
          <w:sz w:val="22"/>
          <w:szCs w:val="22"/>
        </w:rPr>
        <w:t xml:space="preserve">offer </w:t>
      </w:r>
      <w:r>
        <w:rPr>
          <w:rFonts w:asciiTheme="minorHAnsi" w:hAnsiTheme="minorHAnsi" w:cs="Arial"/>
          <w:noProof/>
          <w:sz w:val="22"/>
          <w:szCs w:val="22"/>
        </w:rPr>
        <w:t>access to remedies for people who have been victims of violations</w:t>
      </w:r>
      <w:r w:rsidR="002B45F7">
        <w:rPr>
          <w:rFonts w:asciiTheme="minorHAnsi" w:hAnsiTheme="minorHAnsi" w:cs="Arial"/>
          <w:noProof/>
          <w:sz w:val="22"/>
          <w:szCs w:val="22"/>
        </w:rPr>
        <w:t xml:space="preserve"> of their right to privacy and data protection</w:t>
      </w:r>
      <w:r>
        <w:rPr>
          <w:rFonts w:asciiTheme="minorHAnsi" w:hAnsiTheme="minorHAnsi" w:cs="Arial"/>
          <w:noProof/>
          <w:sz w:val="22"/>
          <w:szCs w:val="22"/>
        </w:rPr>
        <w:t>.</w:t>
      </w:r>
    </w:p>
    <w:p w14:paraId="0FB37B9B" w14:textId="77777777" w:rsidR="00AD65E7" w:rsidRPr="00FB15AA" w:rsidRDefault="00AD65E7" w:rsidP="00FB15AA">
      <w:pPr>
        <w:tabs>
          <w:tab w:val="left" w:pos="426"/>
        </w:tabs>
        <w:rPr>
          <w:rFonts w:asciiTheme="minorHAnsi" w:eastAsia="Calibri" w:hAnsiTheme="minorHAnsi"/>
          <w:b/>
          <w:noProof/>
          <w:sz w:val="22"/>
          <w:szCs w:val="22"/>
        </w:rPr>
      </w:pPr>
      <w:r w:rsidRPr="00FB15AA">
        <w:rPr>
          <w:rFonts w:asciiTheme="minorHAnsi" w:eastAsia="Calibri" w:hAnsiTheme="minorHAnsi"/>
          <w:b/>
          <w:noProof/>
          <w:sz w:val="22"/>
          <w:szCs w:val="22"/>
        </w:rPr>
        <w:t>How will FRA follow up on the results?</w:t>
      </w:r>
    </w:p>
    <w:p w14:paraId="7399936A" w14:textId="0868972F" w:rsidR="00B56F98" w:rsidRPr="00FB15AA" w:rsidRDefault="00B56F98" w:rsidP="00FB15AA">
      <w:pPr>
        <w:spacing w:before="120" w:after="120"/>
        <w:jc w:val="both"/>
        <w:rPr>
          <w:rFonts w:asciiTheme="minorHAnsi" w:hAnsiTheme="minorHAnsi" w:cs="Calibri"/>
          <w:noProof/>
          <w:sz w:val="22"/>
          <w:szCs w:val="22"/>
        </w:rPr>
      </w:pPr>
      <w:r w:rsidRPr="00FB15AA">
        <w:rPr>
          <w:rFonts w:asciiTheme="minorHAnsi" w:hAnsiTheme="minorHAnsi" w:cs="Calibri"/>
          <w:noProof/>
          <w:sz w:val="22"/>
          <w:szCs w:val="22"/>
        </w:rPr>
        <w:t xml:space="preserve">The second stage of the project will consist of field research in selected Member States. </w:t>
      </w:r>
      <w:r w:rsidR="0033513E">
        <w:rPr>
          <w:rFonts w:asciiTheme="minorHAnsi" w:hAnsiTheme="minorHAnsi" w:cs="Calibri"/>
          <w:noProof/>
          <w:sz w:val="22"/>
          <w:szCs w:val="22"/>
        </w:rPr>
        <w:t xml:space="preserve">The plans are to carry out field research in </w:t>
      </w:r>
      <w:r w:rsidR="0033513E" w:rsidRPr="0033513E">
        <w:rPr>
          <w:rFonts w:asciiTheme="minorHAnsi" w:hAnsiTheme="minorHAnsi" w:cs="Calibri"/>
          <w:noProof/>
          <w:sz w:val="22"/>
          <w:szCs w:val="22"/>
        </w:rPr>
        <w:t>B</w:t>
      </w:r>
      <w:r w:rsidR="0033513E">
        <w:rPr>
          <w:rFonts w:asciiTheme="minorHAnsi" w:hAnsiTheme="minorHAnsi" w:cs="Calibri"/>
          <w:noProof/>
          <w:sz w:val="22"/>
          <w:szCs w:val="22"/>
        </w:rPr>
        <w:t>elgium,</w:t>
      </w:r>
      <w:r w:rsidR="0033513E" w:rsidRPr="0033513E">
        <w:rPr>
          <w:rFonts w:asciiTheme="minorHAnsi" w:hAnsiTheme="minorHAnsi" w:cs="Calibri"/>
          <w:noProof/>
          <w:sz w:val="22"/>
          <w:szCs w:val="22"/>
        </w:rPr>
        <w:t xml:space="preserve"> F</w:t>
      </w:r>
      <w:r w:rsidR="0033513E">
        <w:rPr>
          <w:rFonts w:asciiTheme="minorHAnsi" w:hAnsiTheme="minorHAnsi" w:cs="Calibri"/>
          <w:noProof/>
          <w:sz w:val="22"/>
          <w:szCs w:val="22"/>
        </w:rPr>
        <w:t>rance</w:t>
      </w:r>
      <w:r w:rsidR="0033513E" w:rsidRPr="0033513E">
        <w:rPr>
          <w:rFonts w:asciiTheme="minorHAnsi" w:hAnsiTheme="minorHAnsi" w:cs="Calibri"/>
          <w:noProof/>
          <w:sz w:val="22"/>
          <w:szCs w:val="22"/>
        </w:rPr>
        <w:t xml:space="preserve">, </w:t>
      </w:r>
      <w:r w:rsidR="0033513E">
        <w:rPr>
          <w:rFonts w:asciiTheme="minorHAnsi" w:hAnsiTheme="minorHAnsi" w:cs="Calibri"/>
          <w:noProof/>
          <w:sz w:val="22"/>
          <w:szCs w:val="22"/>
        </w:rPr>
        <w:t>Germany</w:t>
      </w:r>
      <w:r w:rsidR="0033513E" w:rsidRPr="0033513E">
        <w:rPr>
          <w:rFonts w:asciiTheme="minorHAnsi" w:hAnsiTheme="minorHAnsi" w:cs="Calibri"/>
          <w:noProof/>
          <w:sz w:val="22"/>
          <w:szCs w:val="22"/>
        </w:rPr>
        <w:t>, I</w:t>
      </w:r>
      <w:r w:rsidR="0033513E">
        <w:rPr>
          <w:rFonts w:asciiTheme="minorHAnsi" w:hAnsiTheme="minorHAnsi" w:cs="Calibri"/>
          <w:noProof/>
          <w:sz w:val="22"/>
          <w:szCs w:val="22"/>
        </w:rPr>
        <w:t>taly,</w:t>
      </w:r>
      <w:r w:rsidR="0033513E" w:rsidRPr="0033513E">
        <w:rPr>
          <w:rFonts w:asciiTheme="minorHAnsi" w:hAnsiTheme="minorHAnsi" w:cs="Calibri"/>
          <w:noProof/>
          <w:sz w:val="22"/>
          <w:szCs w:val="22"/>
        </w:rPr>
        <w:t xml:space="preserve"> </w:t>
      </w:r>
      <w:r w:rsidR="0033513E">
        <w:rPr>
          <w:rFonts w:asciiTheme="minorHAnsi" w:hAnsiTheme="minorHAnsi" w:cs="Calibri"/>
          <w:noProof/>
          <w:sz w:val="22"/>
          <w:szCs w:val="22"/>
        </w:rPr>
        <w:t>the Netherlands, Sweden and the</w:t>
      </w:r>
      <w:r w:rsidR="0033513E" w:rsidRPr="0033513E">
        <w:rPr>
          <w:rFonts w:asciiTheme="minorHAnsi" w:hAnsiTheme="minorHAnsi" w:cs="Calibri"/>
          <w:noProof/>
          <w:sz w:val="22"/>
          <w:szCs w:val="22"/>
        </w:rPr>
        <w:t xml:space="preserve"> UK</w:t>
      </w:r>
      <w:r w:rsidR="0033513E">
        <w:rPr>
          <w:rFonts w:asciiTheme="minorHAnsi" w:hAnsiTheme="minorHAnsi" w:cs="Calibri"/>
          <w:noProof/>
          <w:sz w:val="22"/>
          <w:szCs w:val="22"/>
        </w:rPr>
        <w:t>.</w:t>
      </w:r>
      <w:r w:rsidR="0033513E" w:rsidRPr="0033513E">
        <w:rPr>
          <w:rFonts w:asciiTheme="minorHAnsi" w:hAnsiTheme="minorHAnsi" w:cs="Calibri"/>
          <w:noProof/>
          <w:sz w:val="22"/>
          <w:szCs w:val="22"/>
        </w:rPr>
        <w:t xml:space="preserve"> </w:t>
      </w:r>
      <w:r w:rsidRPr="00FB15AA">
        <w:rPr>
          <w:rFonts w:asciiTheme="minorHAnsi" w:hAnsiTheme="minorHAnsi" w:cs="Calibri"/>
          <w:noProof/>
          <w:sz w:val="22"/>
          <w:szCs w:val="22"/>
        </w:rPr>
        <w:t>This will involve interviews with a range of stakeholders either directly involved with or concerned with data protection and privacy issues related to surveillance. It will provide data on the day-to-day implementation of national legal frameworks relating to surveillance.</w:t>
      </w:r>
    </w:p>
    <w:p w14:paraId="65B94CDB" w14:textId="77777777" w:rsidR="00AD65E7" w:rsidRPr="00312C5D" w:rsidRDefault="00B56F98" w:rsidP="00FB15AA">
      <w:pPr>
        <w:spacing w:before="120" w:after="120"/>
        <w:jc w:val="both"/>
        <w:rPr>
          <w:rFonts w:asciiTheme="minorHAnsi" w:hAnsiTheme="minorHAnsi" w:cs="Arial"/>
          <w:noProof/>
          <w:sz w:val="22"/>
          <w:szCs w:val="22"/>
        </w:rPr>
      </w:pPr>
      <w:r w:rsidRPr="00FB15AA">
        <w:rPr>
          <w:rFonts w:asciiTheme="minorHAnsi" w:hAnsiTheme="minorHAnsi" w:cs="Calibri"/>
          <w:noProof/>
          <w:sz w:val="22"/>
          <w:szCs w:val="22"/>
        </w:rPr>
        <w:t xml:space="preserve">The findings from the fieldwork will be combined with the legal analysis in a final report. This report is </w:t>
      </w:r>
      <w:r w:rsidR="006F0DC7">
        <w:rPr>
          <w:rFonts w:asciiTheme="minorHAnsi" w:hAnsiTheme="minorHAnsi" w:cs="Calibri"/>
          <w:noProof/>
          <w:sz w:val="22"/>
          <w:szCs w:val="22"/>
        </w:rPr>
        <w:t>due</w:t>
      </w:r>
      <w:r w:rsidRPr="00FB15AA">
        <w:rPr>
          <w:rFonts w:asciiTheme="minorHAnsi" w:hAnsiTheme="minorHAnsi" w:cs="Calibri"/>
          <w:noProof/>
          <w:sz w:val="22"/>
          <w:szCs w:val="22"/>
        </w:rPr>
        <w:t xml:space="preserve"> by the end of 2016.</w:t>
      </w:r>
      <w:r w:rsidRPr="00FB15AA">
        <w:rPr>
          <w:rFonts w:asciiTheme="minorHAnsi" w:hAnsiTheme="minorHAnsi" w:cs="Calibri"/>
          <w:noProof/>
          <w:sz w:val="22"/>
          <w:szCs w:val="22"/>
        </w:rPr>
        <w:cr/>
      </w:r>
    </w:p>
    <w:p w14:paraId="10C6576F" w14:textId="77777777" w:rsidR="00B56F98" w:rsidRDefault="001F1F1F" w:rsidP="00B56F98">
      <w:pPr>
        <w:pStyle w:val="FRABodyText"/>
        <w:numPr>
          <w:ilvl w:val="0"/>
          <w:numId w:val="0"/>
        </w:numPr>
        <w:spacing w:after="0"/>
        <w:ind w:right="0"/>
        <w:jc w:val="left"/>
        <w:rPr>
          <w:rStyle w:val="Hiperligao"/>
          <w:rFonts w:asciiTheme="minorHAnsi" w:hAnsiTheme="minorHAnsi" w:cs="Calibri"/>
          <w:b/>
          <w:noProof/>
          <w:color w:val="000000"/>
          <w:u w:val="none"/>
        </w:rPr>
      </w:pPr>
      <w:r w:rsidRPr="00312C5D">
        <w:rPr>
          <w:rFonts w:asciiTheme="minorHAnsi" w:hAnsiTheme="minorHAnsi" w:cs="Calibri"/>
          <w:b/>
          <w:noProof/>
        </w:rPr>
        <w:lastRenderedPageBreak/>
        <w:t xml:space="preserve">FRA’s work on </w:t>
      </w:r>
      <w:r w:rsidR="00B56F98" w:rsidRPr="00B56F98">
        <w:rPr>
          <w:rFonts w:asciiTheme="minorHAnsi" w:hAnsiTheme="minorHAnsi" w:cs="Calibri"/>
          <w:b/>
          <w:noProof/>
        </w:rPr>
        <w:t xml:space="preserve">Information society, privacy and data protection </w:t>
      </w:r>
      <w:r w:rsidR="00DB42FF" w:rsidRPr="00312C5D">
        <w:rPr>
          <w:rFonts w:asciiTheme="minorHAnsi" w:hAnsiTheme="minorHAnsi" w:cs="Calibri"/>
          <w:b/>
          <w:noProof/>
        </w:rPr>
        <w:t>issues</w:t>
      </w:r>
      <w:r w:rsidRPr="00312C5D">
        <w:rPr>
          <w:rFonts w:asciiTheme="minorHAnsi" w:hAnsiTheme="minorHAnsi" w:cs="Calibri"/>
          <w:b/>
          <w:noProof/>
        </w:rPr>
        <w:t xml:space="preserve"> and related publications can be found at</w:t>
      </w:r>
      <w:r w:rsidR="00EE36AA" w:rsidRPr="00312C5D">
        <w:rPr>
          <w:rStyle w:val="Hiperligao"/>
          <w:rFonts w:asciiTheme="minorHAnsi" w:hAnsiTheme="minorHAnsi" w:cs="Calibri"/>
          <w:b/>
          <w:noProof/>
          <w:color w:val="000000"/>
          <w:u w:val="none"/>
        </w:rPr>
        <w:t>:</w:t>
      </w:r>
      <w:r w:rsidR="00B56F98">
        <w:rPr>
          <w:rStyle w:val="Hiperligao"/>
          <w:rFonts w:asciiTheme="minorHAnsi" w:hAnsiTheme="minorHAnsi" w:cs="Calibri"/>
          <w:b/>
          <w:noProof/>
          <w:color w:val="000000"/>
          <w:u w:val="none"/>
        </w:rPr>
        <w:t xml:space="preserve"> </w:t>
      </w:r>
    </w:p>
    <w:p w14:paraId="24150A0E" w14:textId="77777777" w:rsidR="00DB42FF" w:rsidRPr="00312C5D" w:rsidRDefault="00BF1AEB" w:rsidP="00B56F98">
      <w:pPr>
        <w:pStyle w:val="FRABodyText"/>
        <w:numPr>
          <w:ilvl w:val="0"/>
          <w:numId w:val="0"/>
        </w:numPr>
        <w:spacing w:after="0"/>
        <w:ind w:right="0"/>
        <w:jc w:val="left"/>
        <w:rPr>
          <w:rFonts w:asciiTheme="minorHAnsi" w:hAnsiTheme="minorHAnsi"/>
          <w:noProof/>
        </w:rPr>
      </w:pPr>
      <w:hyperlink r:id="rId18" w:history="1">
        <w:r w:rsidR="00B56F98" w:rsidRPr="00281607">
          <w:rPr>
            <w:rStyle w:val="Hiperligao"/>
            <w:rFonts w:asciiTheme="minorHAnsi" w:hAnsiTheme="minorHAnsi" w:cs="Calibri"/>
            <w:b/>
            <w:noProof/>
          </w:rPr>
          <w:t>http://fra.europa.eu/en/theme/information-society-privacy-and-data-protection</w:t>
        </w:r>
      </w:hyperlink>
      <w:r w:rsidR="001A3AFA">
        <w:rPr>
          <w:rFonts w:asciiTheme="minorHAnsi" w:hAnsiTheme="minorHAnsi"/>
          <w:noProof/>
        </w:rPr>
        <w:t>.</w:t>
      </w:r>
    </w:p>
    <w:p w14:paraId="562F6E90" w14:textId="77777777" w:rsidR="001F1F1F" w:rsidRPr="00312C5D" w:rsidRDefault="001F1F1F" w:rsidP="00B56F98">
      <w:pPr>
        <w:pStyle w:val="FRABodyText"/>
        <w:numPr>
          <w:ilvl w:val="0"/>
          <w:numId w:val="0"/>
        </w:numPr>
        <w:spacing w:after="0"/>
        <w:ind w:right="0"/>
        <w:jc w:val="left"/>
        <w:rPr>
          <w:rStyle w:val="Hiperligao"/>
          <w:rFonts w:asciiTheme="minorHAnsi" w:hAnsiTheme="minorHAnsi" w:cs="Calibri"/>
          <w:b/>
          <w:bCs/>
          <w:noProof/>
          <w:color w:val="000000"/>
        </w:rPr>
      </w:pPr>
      <w:r w:rsidRPr="00312C5D">
        <w:rPr>
          <w:rStyle w:val="Hiperligao"/>
          <w:rFonts w:asciiTheme="minorHAnsi" w:hAnsiTheme="minorHAnsi" w:cs="Calibri"/>
          <w:b/>
          <w:bCs/>
          <w:noProof/>
          <w:color w:val="000000"/>
        </w:rPr>
        <w:t>For further information, please contact the FRA Media Team:</w:t>
      </w:r>
    </w:p>
    <w:p w14:paraId="74B15BFB" w14:textId="77777777" w:rsidR="001F1F1F" w:rsidRPr="00312C5D" w:rsidRDefault="001F1F1F" w:rsidP="00B56F98">
      <w:pPr>
        <w:pStyle w:val="FRABodyText"/>
        <w:numPr>
          <w:ilvl w:val="0"/>
          <w:numId w:val="0"/>
        </w:numPr>
        <w:spacing w:after="0"/>
        <w:ind w:right="0"/>
        <w:jc w:val="left"/>
        <w:rPr>
          <w:rStyle w:val="Hiperligao"/>
          <w:rFonts w:asciiTheme="minorHAnsi" w:hAnsiTheme="minorHAnsi" w:cs="Calibri"/>
          <w:b/>
          <w:bCs/>
          <w:noProof/>
          <w:color w:val="000000"/>
          <w:sz w:val="8"/>
          <w:szCs w:val="8"/>
        </w:rPr>
      </w:pPr>
    </w:p>
    <w:p w14:paraId="5322ABEF" w14:textId="77777777" w:rsidR="007E5298" w:rsidRPr="00312C5D" w:rsidRDefault="001F1F1F" w:rsidP="00B56F98">
      <w:pPr>
        <w:pStyle w:val="FRABodyText"/>
        <w:numPr>
          <w:ilvl w:val="0"/>
          <w:numId w:val="0"/>
        </w:numPr>
        <w:spacing w:after="0"/>
        <w:ind w:right="0"/>
        <w:jc w:val="left"/>
        <w:rPr>
          <w:rFonts w:asciiTheme="minorHAnsi" w:hAnsiTheme="minorHAnsi" w:cs="Calibri"/>
          <w:b/>
          <w:bCs/>
          <w:noProof/>
          <w:color w:val="000000"/>
        </w:rPr>
      </w:pPr>
      <w:r w:rsidRPr="00312C5D">
        <w:rPr>
          <w:rStyle w:val="Hiperligao"/>
          <w:rFonts w:asciiTheme="minorHAnsi" w:hAnsiTheme="minorHAnsi" w:cs="Calibri"/>
          <w:b/>
          <w:bCs/>
          <w:noProof/>
          <w:color w:val="000000"/>
        </w:rPr>
        <w:t xml:space="preserve">Email: </w:t>
      </w:r>
      <w:hyperlink r:id="rId19" w:history="1">
        <w:r w:rsidRPr="00312C5D">
          <w:rPr>
            <w:rStyle w:val="Hiperligao"/>
            <w:rFonts w:asciiTheme="minorHAnsi" w:hAnsiTheme="minorHAnsi" w:cs="Calibri"/>
            <w:b/>
            <w:bCs/>
            <w:noProof/>
          </w:rPr>
          <w:t>media@fra.europa.eu</w:t>
        </w:r>
      </w:hyperlink>
      <w:r w:rsidR="00DB42FF" w:rsidRPr="00312C5D">
        <w:rPr>
          <w:rStyle w:val="Hiperligao"/>
          <w:rFonts w:asciiTheme="minorHAnsi" w:hAnsiTheme="minorHAnsi" w:cs="Calibri"/>
          <w:b/>
          <w:bCs/>
          <w:noProof/>
          <w:color w:val="000000"/>
        </w:rPr>
        <w:t xml:space="preserve"> / Tel.: +43 1 58030-</w:t>
      </w:r>
      <w:r w:rsidR="00385125">
        <w:rPr>
          <w:rStyle w:val="Hiperligao"/>
          <w:rFonts w:asciiTheme="minorHAnsi" w:hAnsiTheme="minorHAnsi" w:cs="Calibri"/>
          <w:b/>
          <w:bCs/>
          <w:noProof/>
          <w:color w:val="000000"/>
        </w:rPr>
        <w:t>642</w:t>
      </w:r>
    </w:p>
    <w:sectPr w:rsidR="007E5298" w:rsidRPr="00312C5D" w:rsidSect="0095539F">
      <w:footerReference w:type="even" r:id="rId20"/>
      <w:footerReference w:type="default" r:id="rId21"/>
      <w:pgSz w:w="12240" w:h="15840"/>
      <w:pgMar w:top="794" w:right="1644" w:bottom="79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D209" w14:textId="77777777" w:rsidR="00BF1AEB" w:rsidRDefault="00BF1AEB">
      <w:r>
        <w:separator/>
      </w:r>
    </w:p>
  </w:endnote>
  <w:endnote w:type="continuationSeparator" w:id="0">
    <w:p w14:paraId="5DE44453" w14:textId="77777777" w:rsidR="00BF1AEB" w:rsidRDefault="00BF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89D3" w14:textId="77777777" w:rsidR="00ED6B06" w:rsidRDefault="00823EF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3A95D09" w14:textId="77777777" w:rsidR="00ED6B06" w:rsidRDefault="00BF1A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06766"/>
      <w:docPartObj>
        <w:docPartGallery w:val="Page Numbers (Bottom of Page)"/>
        <w:docPartUnique/>
      </w:docPartObj>
    </w:sdtPr>
    <w:sdtEndPr>
      <w:rPr>
        <w:rFonts w:asciiTheme="minorHAnsi" w:hAnsiTheme="minorHAnsi"/>
        <w:noProof/>
        <w:sz w:val="20"/>
        <w:szCs w:val="20"/>
      </w:rPr>
    </w:sdtEndPr>
    <w:sdtContent>
      <w:p w14:paraId="28E9FEC6" w14:textId="77777777" w:rsidR="00A36FCE" w:rsidRPr="00A36FCE" w:rsidRDefault="00A36FCE">
        <w:pPr>
          <w:pStyle w:val="Rodap"/>
          <w:jc w:val="center"/>
          <w:rPr>
            <w:rFonts w:asciiTheme="minorHAnsi" w:hAnsiTheme="minorHAnsi"/>
            <w:sz w:val="20"/>
            <w:szCs w:val="20"/>
          </w:rPr>
        </w:pPr>
        <w:r w:rsidRPr="00A36FCE">
          <w:rPr>
            <w:rFonts w:asciiTheme="minorHAnsi" w:hAnsiTheme="minorHAnsi"/>
            <w:sz w:val="20"/>
            <w:szCs w:val="20"/>
          </w:rPr>
          <w:fldChar w:fldCharType="begin"/>
        </w:r>
        <w:r w:rsidRPr="00A36FCE">
          <w:rPr>
            <w:rFonts w:asciiTheme="minorHAnsi" w:hAnsiTheme="minorHAnsi"/>
            <w:sz w:val="20"/>
            <w:szCs w:val="20"/>
          </w:rPr>
          <w:instrText xml:space="preserve"> PAGE   \* MERGEFORMAT </w:instrText>
        </w:r>
        <w:r w:rsidRPr="00A36FCE">
          <w:rPr>
            <w:rFonts w:asciiTheme="minorHAnsi" w:hAnsiTheme="minorHAnsi"/>
            <w:sz w:val="20"/>
            <w:szCs w:val="20"/>
          </w:rPr>
          <w:fldChar w:fldCharType="separate"/>
        </w:r>
        <w:r w:rsidR="00A14A9C">
          <w:rPr>
            <w:rFonts w:asciiTheme="minorHAnsi" w:hAnsiTheme="minorHAnsi"/>
            <w:noProof/>
            <w:sz w:val="20"/>
            <w:szCs w:val="20"/>
          </w:rPr>
          <w:t>4</w:t>
        </w:r>
        <w:r w:rsidRPr="00A36FCE">
          <w:rPr>
            <w:rFonts w:asciiTheme="minorHAnsi" w:hAnsiTheme="minorHAnsi"/>
            <w:noProof/>
            <w:sz w:val="20"/>
            <w:szCs w:val="20"/>
          </w:rPr>
          <w:fldChar w:fldCharType="end"/>
        </w:r>
      </w:p>
    </w:sdtContent>
  </w:sdt>
  <w:p w14:paraId="33DFC46D" w14:textId="77777777" w:rsidR="00ED6B06" w:rsidRPr="009810DD" w:rsidRDefault="00BF1AEB">
    <w:pPr>
      <w:pStyle w:val="Rodap"/>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CC4C4" w14:textId="77777777" w:rsidR="00BF1AEB" w:rsidRDefault="00BF1AEB">
      <w:r>
        <w:separator/>
      </w:r>
    </w:p>
  </w:footnote>
  <w:footnote w:type="continuationSeparator" w:id="0">
    <w:p w14:paraId="6D9613D3" w14:textId="77777777" w:rsidR="00BF1AEB" w:rsidRDefault="00BF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D79"/>
    <w:multiLevelType w:val="hybridMultilevel"/>
    <w:tmpl w:val="04CAF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590A01"/>
    <w:multiLevelType w:val="hybridMultilevel"/>
    <w:tmpl w:val="098EEEB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41418"/>
    <w:multiLevelType w:val="hybridMultilevel"/>
    <w:tmpl w:val="6A34AA34"/>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3">
    <w:nsid w:val="133E71AA"/>
    <w:multiLevelType w:val="hybridMultilevel"/>
    <w:tmpl w:val="969EB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400943"/>
    <w:multiLevelType w:val="hybridMultilevel"/>
    <w:tmpl w:val="B32884AC"/>
    <w:lvl w:ilvl="0" w:tplc="67186F72">
      <w:start w:val="2"/>
      <w:numFmt w:val="bullet"/>
      <w:lvlText w:val="-"/>
      <w:lvlJc w:val="left"/>
      <w:pPr>
        <w:ind w:left="1080" w:hanging="360"/>
      </w:pPr>
      <w:rPr>
        <w:rFonts w:ascii="Calibri" w:eastAsia="Times New Roman" w:hAnsi="Calibri"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5C0C59"/>
    <w:multiLevelType w:val="hybridMultilevel"/>
    <w:tmpl w:val="E07C8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23385A"/>
    <w:multiLevelType w:val="hybridMultilevel"/>
    <w:tmpl w:val="4A4EE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306858"/>
    <w:multiLevelType w:val="hybridMultilevel"/>
    <w:tmpl w:val="8214D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B07A4E"/>
    <w:multiLevelType w:val="hybridMultilevel"/>
    <w:tmpl w:val="BE58C3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66B0CD9"/>
    <w:multiLevelType w:val="hybridMultilevel"/>
    <w:tmpl w:val="47726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5E00FDC"/>
    <w:multiLevelType w:val="hybridMultilevel"/>
    <w:tmpl w:val="50C62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B23683"/>
    <w:multiLevelType w:val="hybridMultilevel"/>
    <w:tmpl w:val="DAC68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4E0F84"/>
    <w:multiLevelType w:val="hybridMultilevel"/>
    <w:tmpl w:val="B5B68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E673EA6"/>
    <w:multiLevelType w:val="hybridMultilevel"/>
    <w:tmpl w:val="39E6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72CF1"/>
    <w:multiLevelType w:val="hybridMultilevel"/>
    <w:tmpl w:val="221C0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3C360ED"/>
    <w:multiLevelType w:val="hybridMultilevel"/>
    <w:tmpl w:val="59103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D3E12BB"/>
    <w:multiLevelType w:val="hybridMultilevel"/>
    <w:tmpl w:val="8B56F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DE3435E"/>
    <w:multiLevelType w:val="hybridMultilevel"/>
    <w:tmpl w:val="39F6DC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2D80132"/>
    <w:multiLevelType w:val="hybridMultilevel"/>
    <w:tmpl w:val="EFA07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34B336A"/>
    <w:multiLevelType w:val="hybridMultilevel"/>
    <w:tmpl w:val="CF9AEDDC"/>
    <w:lvl w:ilvl="0" w:tplc="14C4215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1030F"/>
    <w:multiLevelType w:val="hybridMultilevel"/>
    <w:tmpl w:val="0A245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EBA5C22"/>
    <w:multiLevelType w:val="hybridMultilevel"/>
    <w:tmpl w:val="80DAAB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B2EAC"/>
    <w:multiLevelType w:val="hybridMultilevel"/>
    <w:tmpl w:val="7318DA34"/>
    <w:lvl w:ilvl="0" w:tplc="6C102820">
      <w:start w:val="1"/>
      <w:numFmt w:val="bullet"/>
      <w:lvlText w:val=""/>
      <w:lvlJc w:val="left"/>
      <w:pPr>
        <w:tabs>
          <w:tab w:val="num" w:pos="360"/>
        </w:tabs>
        <w:ind w:left="360" w:hanging="360"/>
      </w:pPr>
      <w:rPr>
        <w:rFonts w:ascii="Symbol" w:hAnsi="Symbol" w:hint="default"/>
      </w:rPr>
    </w:lvl>
    <w:lvl w:ilvl="1" w:tplc="04090019" w:tentative="1">
      <w:start w:val="1"/>
      <w:numFmt w:val="bullet"/>
      <w:pStyle w:val="FRAHeading2"/>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71A81C99"/>
    <w:multiLevelType w:val="hybridMultilevel"/>
    <w:tmpl w:val="A62C701E"/>
    <w:lvl w:ilvl="0" w:tplc="67186F72">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6E0335"/>
    <w:multiLevelType w:val="hybridMultilevel"/>
    <w:tmpl w:val="BE58C320"/>
    <w:lvl w:ilvl="0" w:tplc="1809000F">
      <w:start w:val="1"/>
      <w:numFmt w:val="decimal"/>
      <w:lvlText w:val="%1."/>
      <w:lvlJc w:val="left"/>
      <w:pPr>
        <w:ind w:left="1211"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4F1158B"/>
    <w:multiLevelType w:val="hybridMultilevel"/>
    <w:tmpl w:val="F702B7F2"/>
    <w:lvl w:ilvl="0" w:tplc="04090001">
      <w:start w:val="1"/>
      <w:numFmt w:val="decimal"/>
      <w:pStyle w:val="FRABodyText"/>
      <w:lvlText w:val="[%1]."/>
      <w:lvlJc w:val="left"/>
      <w:pPr>
        <w:tabs>
          <w:tab w:val="num" w:pos="851"/>
        </w:tabs>
        <w:ind w:left="851" w:hanging="851"/>
      </w:pPr>
      <w:rPr>
        <w:rFonts w:hint="default"/>
        <w:b w:val="0"/>
        <w:i w:val="0"/>
      </w:rPr>
    </w:lvl>
    <w:lvl w:ilvl="1" w:tplc="04090003">
      <w:start w:val="1"/>
      <w:numFmt w:val="bullet"/>
      <w:lvlText w:val=""/>
      <w:lvlJc w:val="left"/>
      <w:pPr>
        <w:tabs>
          <w:tab w:val="num" w:pos="3142"/>
        </w:tabs>
        <w:ind w:left="3142" w:hanging="360"/>
      </w:pPr>
      <w:rPr>
        <w:rFonts w:ascii="Symbol" w:hAnsi="Symbol" w:hint="default"/>
      </w:rPr>
    </w:lvl>
    <w:lvl w:ilvl="2" w:tplc="04090005">
      <w:start w:val="1"/>
      <w:numFmt w:val="bullet"/>
      <w:lvlText w:val=""/>
      <w:lvlJc w:val="left"/>
      <w:pPr>
        <w:tabs>
          <w:tab w:val="num" w:pos="4042"/>
        </w:tabs>
        <w:ind w:left="4042" w:hanging="360"/>
      </w:pPr>
      <w:rPr>
        <w:rFonts w:ascii="Symbol" w:hAnsi="Symbol" w:hint="default"/>
        <w:color w:val="auto"/>
      </w:rPr>
    </w:lvl>
    <w:lvl w:ilvl="3" w:tplc="04090001" w:tentative="1">
      <w:start w:val="1"/>
      <w:numFmt w:val="decimal"/>
      <w:lvlText w:val="%4."/>
      <w:lvlJc w:val="left"/>
      <w:pPr>
        <w:tabs>
          <w:tab w:val="num" w:pos="4582"/>
        </w:tabs>
        <w:ind w:left="4582" w:hanging="360"/>
      </w:pPr>
    </w:lvl>
    <w:lvl w:ilvl="4" w:tplc="04090003" w:tentative="1">
      <w:start w:val="1"/>
      <w:numFmt w:val="lowerLetter"/>
      <w:lvlText w:val="%5."/>
      <w:lvlJc w:val="left"/>
      <w:pPr>
        <w:tabs>
          <w:tab w:val="num" w:pos="5302"/>
        </w:tabs>
        <w:ind w:left="5302" w:hanging="360"/>
      </w:pPr>
    </w:lvl>
    <w:lvl w:ilvl="5" w:tplc="04090005" w:tentative="1">
      <w:start w:val="1"/>
      <w:numFmt w:val="lowerRoman"/>
      <w:lvlText w:val="%6."/>
      <w:lvlJc w:val="right"/>
      <w:pPr>
        <w:tabs>
          <w:tab w:val="num" w:pos="6022"/>
        </w:tabs>
        <w:ind w:left="6022" w:hanging="180"/>
      </w:pPr>
    </w:lvl>
    <w:lvl w:ilvl="6" w:tplc="04090001" w:tentative="1">
      <w:start w:val="1"/>
      <w:numFmt w:val="decimal"/>
      <w:lvlText w:val="%7."/>
      <w:lvlJc w:val="left"/>
      <w:pPr>
        <w:tabs>
          <w:tab w:val="num" w:pos="6742"/>
        </w:tabs>
        <w:ind w:left="6742" w:hanging="360"/>
      </w:pPr>
    </w:lvl>
    <w:lvl w:ilvl="7" w:tplc="04090003" w:tentative="1">
      <w:start w:val="1"/>
      <w:numFmt w:val="lowerLetter"/>
      <w:lvlText w:val="%8."/>
      <w:lvlJc w:val="left"/>
      <w:pPr>
        <w:tabs>
          <w:tab w:val="num" w:pos="7462"/>
        </w:tabs>
        <w:ind w:left="7462" w:hanging="360"/>
      </w:pPr>
    </w:lvl>
    <w:lvl w:ilvl="8" w:tplc="04090005" w:tentative="1">
      <w:start w:val="1"/>
      <w:numFmt w:val="lowerRoman"/>
      <w:lvlText w:val="%9."/>
      <w:lvlJc w:val="right"/>
      <w:pPr>
        <w:tabs>
          <w:tab w:val="num" w:pos="8182"/>
        </w:tabs>
        <w:ind w:left="8182" w:hanging="180"/>
      </w:pPr>
    </w:lvl>
  </w:abstractNum>
  <w:num w:numId="1">
    <w:abstractNumId w:val="25"/>
  </w:num>
  <w:num w:numId="2">
    <w:abstractNumId w:val="22"/>
  </w:num>
  <w:num w:numId="3">
    <w:abstractNumId w:val="24"/>
  </w:num>
  <w:num w:numId="4">
    <w:abstractNumId w:val="11"/>
  </w:num>
  <w:num w:numId="5">
    <w:abstractNumId w:val="16"/>
  </w:num>
  <w:num w:numId="6">
    <w:abstractNumId w:val="4"/>
  </w:num>
  <w:num w:numId="7">
    <w:abstractNumId w:val="18"/>
  </w:num>
  <w:num w:numId="8">
    <w:abstractNumId w:val="9"/>
  </w:num>
  <w:num w:numId="9">
    <w:abstractNumId w:val="14"/>
  </w:num>
  <w:num w:numId="10">
    <w:abstractNumId w:val="6"/>
  </w:num>
  <w:num w:numId="11">
    <w:abstractNumId w:val="3"/>
  </w:num>
  <w:num w:numId="12">
    <w:abstractNumId w:val="21"/>
  </w:num>
  <w:num w:numId="13">
    <w:abstractNumId w:val="2"/>
  </w:num>
  <w:num w:numId="14">
    <w:abstractNumId w:val="8"/>
  </w:num>
  <w:num w:numId="15">
    <w:abstractNumId w:val="19"/>
  </w:num>
  <w:num w:numId="16">
    <w:abstractNumId w:val="23"/>
  </w:num>
  <w:num w:numId="17">
    <w:abstractNumId w:val="13"/>
  </w:num>
  <w:num w:numId="18">
    <w:abstractNumId w:val="7"/>
  </w:num>
  <w:num w:numId="19">
    <w:abstractNumId w:val="5"/>
  </w:num>
  <w:num w:numId="20">
    <w:abstractNumId w:val="15"/>
  </w:num>
  <w:num w:numId="21">
    <w:abstractNumId w:val="0"/>
  </w:num>
  <w:num w:numId="22">
    <w:abstractNumId w:val="12"/>
  </w:num>
  <w:num w:numId="23">
    <w:abstractNumId w:val="1"/>
  </w:num>
  <w:num w:numId="24">
    <w:abstractNumId w:val="20"/>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1F"/>
    <w:rsid w:val="000072AD"/>
    <w:rsid w:val="00015863"/>
    <w:rsid w:val="00015E4B"/>
    <w:rsid w:val="000421E9"/>
    <w:rsid w:val="00056FCF"/>
    <w:rsid w:val="000570A4"/>
    <w:rsid w:val="00065D23"/>
    <w:rsid w:val="00070CA3"/>
    <w:rsid w:val="000B5801"/>
    <w:rsid w:val="000C532F"/>
    <w:rsid w:val="00114EC5"/>
    <w:rsid w:val="00122E80"/>
    <w:rsid w:val="00133187"/>
    <w:rsid w:val="0014185A"/>
    <w:rsid w:val="00173BEB"/>
    <w:rsid w:val="001A3AFA"/>
    <w:rsid w:val="001A6C32"/>
    <w:rsid w:val="001B11F0"/>
    <w:rsid w:val="001B1465"/>
    <w:rsid w:val="001B437B"/>
    <w:rsid w:val="001D1758"/>
    <w:rsid w:val="001D45AF"/>
    <w:rsid w:val="001F1F1F"/>
    <w:rsid w:val="001F382C"/>
    <w:rsid w:val="0021163C"/>
    <w:rsid w:val="002401D0"/>
    <w:rsid w:val="00241588"/>
    <w:rsid w:val="00275A10"/>
    <w:rsid w:val="002848A8"/>
    <w:rsid w:val="002917FA"/>
    <w:rsid w:val="00291D08"/>
    <w:rsid w:val="00291EE8"/>
    <w:rsid w:val="002A0A9A"/>
    <w:rsid w:val="002A5CF2"/>
    <w:rsid w:val="002B2889"/>
    <w:rsid w:val="002B2AB4"/>
    <w:rsid w:val="002B45F7"/>
    <w:rsid w:val="002C4E45"/>
    <w:rsid w:val="002C7AB0"/>
    <w:rsid w:val="002D20D8"/>
    <w:rsid w:val="002E45CA"/>
    <w:rsid w:val="002F4CAD"/>
    <w:rsid w:val="00300ECC"/>
    <w:rsid w:val="00305A6A"/>
    <w:rsid w:val="00312C5D"/>
    <w:rsid w:val="00326604"/>
    <w:rsid w:val="003318F4"/>
    <w:rsid w:val="00333452"/>
    <w:rsid w:val="0033513E"/>
    <w:rsid w:val="00341A67"/>
    <w:rsid w:val="00385125"/>
    <w:rsid w:val="003905C3"/>
    <w:rsid w:val="003A016A"/>
    <w:rsid w:val="003B41B7"/>
    <w:rsid w:val="003C0EB6"/>
    <w:rsid w:val="003E1CDF"/>
    <w:rsid w:val="003E647D"/>
    <w:rsid w:val="00434542"/>
    <w:rsid w:val="004349E4"/>
    <w:rsid w:val="00435E63"/>
    <w:rsid w:val="00444246"/>
    <w:rsid w:val="00446150"/>
    <w:rsid w:val="00453F6D"/>
    <w:rsid w:val="00454DE6"/>
    <w:rsid w:val="004648F5"/>
    <w:rsid w:val="00472B09"/>
    <w:rsid w:val="00490DE0"/>
    <w:rsid w:val="004D0BE9"/>
    <w:rsid w:val="004D718D"/>
    <w:rsid w:val="004E6508"/>
    <w:rsid w:val="004F6A89"/>
    <w:rsid w:val="0050726D"/>
    <w:rsid w:val="00512F43"/>
    <w:rsid w:val="005135CD"/>
    <w:rsid w:val="005328AB"/>
    <w:rsid w:val="00540C38"/>
    <w:rsid w:val="00577AD7"/>
    <w:rsid w:val="00592909"/>
    <w:rsid w:val="00593CAC"/>
    <w:rsid w:val="005B4717"/>
    <w:rsid w:val="005D3231"/>
    <w:rsid w:val="005E5A80"/>
    <w:rsid w:val="00602A50"/>
    <w:rsid w:val="0060414B"/>
    <w:rsid w:val="006069B4"/>
    <w:rsid w:val="006117A7"/>
    <w:rsid w:val="00632585"/>
    <w:rsid w:val="0064354A"/>
    <w:rsid w:val="006523B0"/>
    <w:rsid w:val="00675792"/>
    <w:rsid w:val="006773F6"/>
    <w:rsid w:val="006831BA"/>
    <w:rsid w:val="00687E85"/>
    <w:rsid w:val="006914DB"/>
    <w:rsid w:val="006C214D"/>
    <w:rsid w:val="006D40FC"/>
    <w:rsid w:val="006F0DC7"/>
    <w:rsid w:val="006F5619"/>
    <w:rsid w:val="00711AF7"/>
    <w:rsid w:val="00733F1B"/>
    <w:rsid w:val="007600F0"/>
    <w:rsid w:val="0077320F"/>
    <w:rsid w:val="00773DAF"/>
    <w:rsid w:val="00786E87"/>
    <w:rsid w:val="00792296"/>
    <w:rsid w:val="007B4EA6"/>
    <w:rsid w:val="007C5A0D"/>
    <w:rsid w:val="007C79A1"/>
    <w:rsid w:val="007D06EF"/>
    <w:rsid w:val="007D0E03"/>
    <w:rsid w:val="007E2759"/>
    <w:rsid w:val="007E5298"/>
    <w:rsid w:val="007E6B06"/>
    <w:rsid w:val="007F65D3"/>
    <w:rsid w:val="00815719"/>
    <w:rsid w:val="00823EFE"/>
    <w:rsid w:val="0083408A"/>
    <w:rsid w:val="0085166E"/>
    <w:rsid w:val="00875967"/>
    <w:rsid w:val="00895E10"/>
    <w:rsid w:val="008A647C"/>
    <w:rsid w:val="008C06F2"/>
    <w:rsid w:val="008C792F"/>
    <w:rsid w:val="008E4A1C"/>
    <w:rsid w:val="00900BE4"/>
    <w:rsid w:val="009330E1"/>
    <w:rsid w:val="00962CA9"/>
    <w:rsid w:val="00967108"/>
    <w:rsid w:val="009810DD"/>
    <w:rsid w:val="0098669D"/>
    <w:rsid w:val="009901EE"/>
    <w:rsid w:val="009A19A6"/>
    <w:rsid w:val="009D15BB"/>
    <w:rsid w:val="009D4F8D"/>
    <w:rsid w:val="009D749A"/>
    <w:rsid w:val="009F7D66"/>
    <w:rsid w:val="00A14A9C"/>
    <w:rsid w:val="00A36FCE"/>
    <w:rsid w:val="00A65C14"/>
    <w:rsid w:val="00A836BD"/>
    <w:rsid w:val="00AA0611"/>
    <w:rsid w:val="00AA23A0"/>
    <w:rsid w:val="00AC4575"/>
    <w:rsid w:val="00AC7472"/>
    <w:rsid w:val="00AD2308"/>
    <w:rsid w:val="00AD65E7"/>
    <w:rsid w:val="00B12C0B"/>
    <w:rsid w:val="00B13B18"/>
    <w:rsid w:val="00B40628"/>
    <w:rsid w:val="00B41E41"/>
    <w:rsid w:val="00B4715D"/>
    <w:rsid w:val="00B56F98"/>
    <w:rsid w:val="00B9245D"/>
    <w:rsid w:val="00BA0A17"/>
    <w:rsid w:val="00BB6AAB"/>
    <w:rsid w:val="00BC7931"/>
    <w:rsid w:val="00BF1AEB"/>
    <w:rsid w:val="00C0184D"/>
    <w:rsid w:val="00C01F26"/>
    <w:rsid w:val="00C106E7"/>
    <w:rsid w:val="00C26C24"/>
    <w:rsid w:val="00C4146A"/>
    <w:rsid w:val="00C76EED"/>
    <w:rsid w:val="00CA7C7F"/>
    <w:rsid w:val="00CB1364"/>
    <w:rsid w:val="00CC3757"/>
    <w:rsid w:val="00CC7A3E"/>
    <w:rsid w:val="00CD0122"/>
    <w:rsid w:val="00CE1806"/>
    <w:rsid w:val="00D004F5"/>
    <w:rsid w:val="00D03B98"/>
    <w:rsid w:val="00D41749"/>
    <w:rsid w:val="00D46E52"/>
    <w:rsid w:val="00D54FD2"/>
    <w:rsid w:val="00DA35E1"/>
    <w:rsid w:val="00DA3C37"/>
    <w:rsid w:val="00DA576C"/>
    <w:rsid w:val="00DA597B"/>
    <w:rsid w:val="00DB1F68"/>
    <w:rsid w:val="00DB37AE"/>
    <w:rsid w:val="00DB42FF"/>
    <w:rsid w:val="00DD0F29"/>
    <w:rsid w:val="00DE5E8D"/>
    <w:rsid w:val="00DF60BD"/>
    <w:rsid w:val="00E05C39"/>
    <w:rsid w:val="00E3000D"/>
    <w:rsid w:val="00E47A5C"/>
    <w:rsid w:val="00E74EEE"/>
    <w:rsid w:val="00E7600E"/>
    <w:rsid w:val="00E76A59"/>
    <w:rsid w:val="00E92CAF"/>
    <w:rsid w:val="00EC1AD7"/>
    <w:rsid w:val="00EC665A"/>
    <w:rsid w:val="00EE36AA"/>
    <w:rsid w:val="00EE44B1"/>
    <w:rsid w:val="00F06E7A"/>
    <w:rsid w:val="00F106FA"/>
    <w:rsid w:val="00F11670"/>
    <w:rsid w:val="00F12C35"/>
    <w:rsid w:val="00F13493"/>
    <w:rsid w:val="00F14F7C"/>
    <w:rsid w:val="00F20AE7"/>
    <w:rsid w:val="00F23F75"/>
    <w:rsid w:val="00F341B0"/>
    <w:rsid w:val="00F517A4"/>
    <w:rsid w:val="00F55522"/>
    <w:rsid w:val="00F86198"/>
    <w:rsid w:val="00F8732F"/>
    <w:rsid w:val="00FB15AA"/>
    <w:rsid w:val="00FB7CBB"/>
    <w:rsid w:val="00FC1662"/>
    <w:rsid w:val="00FC4999"/>
    <w:rsid w:val="00FD719A"/>
    <w:rsid w:val="00FE32BC"/>
    <w:rsid w:val="00FF4B53"/>
    <w:rsid w:val="00FF69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1F"/>
    <w:pPr>
      <w:spacing w:after="0" w:line="240" w:lineRule="auto"/>
    </w:pPr>
    <w:rPr>
      <w:rFonts w:ascii="Times New Roman" w:eastAsia="Times New Roman" w:hAnsi="Times New Roman" w:cs="Times New Roman"/>
      <w:sz w:val="24"/>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ABodyText">
    <w:name w:val="(FRA) Body Text"/>
    <w:basedOn w:val="Normal"/>
    <w:rsid w:val="001F1F1F"/>
    <w:pPr>
      <w:numPr>
        <w:numId w:val="1"/>
      </w:numPr>
      <w:spacing w:after="240"/>
      <w:ind w:right="46"/>
      <w:jc w:val="both"/>
    </w:pPr>
    <w:rPr>
      <w:rFonts w:eastAsia="Calibri"/>
      <w:sz w:val="22"/>
      <w:szCs w:val="22"/>
      <w:lang w:bidi="en-US"/>
    </w:rPr>
  </w:style>
  <w:style w:type="paragraph" w:customStyle="1" w:styleId="FRAHeading2">
    <w:name w:val="(FRA) Heading 2"/>
    <w:basedOn w:val="Normal"/>
    <w:next w:val="FRABodyText"/>
    <w:qFormat/>
    <w:rsid w:val="001F1F1F"/>
    <w:pPr>
      <w:keepNext/>
      <w:numPr>
        <w:ilvl w:val="1"/>
        <w:numId w:val="2"/>
      </w:numPr>
      <w:tabs>
        <w:tab w:val="left" w:pos="1134"/>
      </w:tabs>
      <w:spacing w:before="480" w:after="240"/>
      <w:ind w:left="1134" w:hanging="1134"/>
    </w:pPr>
    <w:rPr>
      <w:rFonts w:ascii="Arial Narrow" w:eastAsia="SimSun" w:hAnsi="Arial Narrow"/>
      <w:sz w:val="40"/>
      <w:lang w:eastAsia="zh-CN"/>
    </w:rPr>
  </w:style>
  <w:style w:type="paragraph" w:styleId="Rodap">
    <w:name w:val="footer"/>
    <w:basedOn w:val="Normal"/>
    <w:link w:val="RodapCarcter"/>
    <w:uiPriority w:val="99"/>
    <w:rsid w:val="001F1F1F"/>
    <w:pPr>
      <w:tabs>
        <w:tab w:val="center" w:pos="4320"/>
        <w:tab w:val="right" w:pos="8640"/>
      </w:tabs>
    </w:pPr>
  </w:style>
  <w:style w:type="character" w:customStyle="1" w:styleId="RodapCarcter">
    <w:name w:val="Rodapé Carácter"/>
    <w:basedOn w:val="Tipodeletrapredefinidodopargrafo"/>
    <w:link w:val="Rodap"/>
    <w:uiPriority w:val="99"/>
    <w:rsid w:val="001F1F1F"/>
    <w:rPr>
      <w:rFonts w:ascii="Times New Roman" w:eastAsia="Times New Roman" w:hAnsi="Times New Roman" w:cs="Times New Roman"/>
      <w:sz w:val="24"/>
      <w:szCs w:val="24"/>
      <w:lang w:val="en-GB"/>
    </w:rPr>
  </w:style>
  <w:style w:type="character" w:styleId="Hiperligao">
    <w:name w:val="Hyperlink"/>
    <w:uiPriority w:val="99"/>
    <w:rsid w:val="001F1F1F"/>
    <w:rPr>
      <w:color w:val="0000FF"/>
      <w:u w:val="single"/>
    </w:rPr>
  </w:style>
  <w:style w:type="character" w:styleId="Nmerodepgina">
    <w:name w:val="page number"/>
    <w:basedOn w:val="Tipodeletrapredefinidodopargrafo"/>
    <w:rsid w:val="001F1F1F"/>
  </w:style>
  <w:style w:type="paragraph" w:customStyle="1" w:styleId="Bluebar">
    <w:name w:val="Blue bar"/>
    <w:basedOn w:val="Normal"/>
    <w:rsid w:val="001F1F1F"/>
    <w:pPr>
      <w:shd w:val="clear" w:color="auto" w:fill="012878"/>
      <w:spacing w:before="240" w:after="120"/>
      <w:jc w:val="center"/>
    </w:pPr>
    <w:rPr>
      <w:rFonts w:ascii="Arial" w:hAnsi="Arial"/>
      <w:b/>
      <w:color w:val="FFD300"/>
      <w:sz w:val="28"/>
    </w:rPr>
  </w:style>
  <w:style w:type="paragraph" w:customStyle="1" w:styleId="StyleHeading3ArialLightBlue">
    <w:name w:val="Style Heading 3 + Arial Light Blue"/>
    <w:basedOn w:val="Normal"/>
    <w:next w:val="Normal"/>
    <w:rsid w:val="001F1F1F"/>
    <w:pPr>
      <w:autoSpaceDE w:val="0"/>
      <w:autoSpaceDN w:val="0"/>
      <w:adjustRightInd w:val="0"/>
    </w:pPr>
    <w:rPr>
      <w:rFonts w:ascii="Arial" w:hAnsi="Arial"/>
      <w:lang w:val="en-US"/>
    </w:rPr>
  </w:style>
  <w:style w:type="paragraph" w:customStyle="1" w:styleId="embargo">
    <w:name w:val="embargo"/>
    <w:basedOn w:val="Normal"/>
    <w:qFormat/>
    <w:rsid w:val="001F1F1F"/>
    <w:pPr>
      <w:spacing w:after="200" w:line="276" w:lineRule="auto"/>
      <w:jc w:val="center"/>
    </w:pPr>
    <w:rPr>
      <w:rFonts w:ascii="Arial" w:eastAsia="Calibri" w:hAnsi="Arial" w:cs="Arial"/>
      <w:b/>
      <w:color w:val="FF0000"/>
      <w:sz w:val="28"/>
      <w:szCs w:val="28"/>
    </w:rPr>
  </w:style>
  <w:style w:type="paragraph" w:styleId="Textodebalo">
    <w:name w:val="Balloon Text"/>
    <w:basedOn w:val="Normal"/>
    <w:link w:val="TextodebaloCarcter"/>
    <w:uiPriority w:val="99"/>
    <w:semiHidden/>
    <w:unhideWhenUsed/>
    <w:rsid w:val="001F1F1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F1F1F"/>
    <w:rPr>
      <w:rFonts w:ascii="Tahoma" w:eastAsia="Times New Roman" w:hAnsi="Tahoma" w:cs="Tahoma"/>
      <w:sz w:val="16"/>
      <w:szCs w:val="16"/>
      <w:lang w:val="en-GB"/>
    </w:rPr>
  </w:style>
  <w:style w:type="paragraph" w:styleId="PargrafodaLista">
    <w:name w:val="List Paragraph"/>
    <w:basedOn w:val="Normal"/>
    <w:uiPriority w:val="99"/>
    <w:qFormat/>
    <w:rsid w:val="001F1F1F"/>
    <w:pPr>
      <w:ind w:left="720"/>
      <w:contextualSpacing/>
    </w:pPr>
  </w:style>
  <w:style w:type="paragraph" w:styleId="Cabealho">
    <w:name w:val="header"/>
    <w:basedOn w:val="Normal"/>
    <w:link w:val="CabealhoCarcter"/>
    <w:uiPriority w:val="99"/>
    <w:unhideWhenUsed/>
    <w:rsid w:val="00EE36AA"/>
    <w:pPr>
      <w:tabs>
        <w:tab w:val="center" w:pos="4513"/>
        <w:tab w:val="right" w:pos="9026"/>
      </w:tabs>
    </w:pPr>
  </w:style>
  <w:style w:type="character" w:customStyle="1" w:styleId="CabealhoCarcter">
    <w:name w:val="Cabeçalho Carácter"/>
    <w:basedOn w:val="Tipodeletrapredefinidodopargrafo"/>
    <w:link w:val="Cabealho"/>
    <w:uiPriority w:val="99"/>
    <w:rsid w:val="00EE36AA"/>
    <w:rPr>
      <w:rFonts w:ascii="Times New Roman" w:eastAsia="Times New Roman" w:hAnsi="Times New Roman" w:cs="Times New Roman"/>
      <w:sz w:val="24"/>
      <w:szCs w:val="24"/>
      <w:lang w:val="en-GB"/>
    </w:rPr>
  </w:style>
  <w:style w:type="paragraph" w:styleId="Textosimples">
    <w:name w:val="Plain Text"/>
    <w:basedOn w:val="Normal"/>
    <w:link w:val="TextosimplesCarcter"/>
    <w:uiPriority w:val="99"/>
    <w:unhideWhenUsed/>
    <w:rsid w:val="00A65C14"/>
    <w:rPr>
      <w:rFonts w:ascii="Calibri" w:eastAsiaTheme="minorHAnsi" w:hAnsi="Calibri" w:cstheme="minorBidi"/>
      <w:sz w:val="22"/>
      <w:szCs w:val="21"/>
      <w:lang w:val="en-IE"/>
    </w:rPr>
  </w:style>
  <w:style w:type="character" w:customStyle="1" w:styleId="TextosimplesCarcter">
    <w:name w:val="Texto simples Carácter"/>
    <w:basedOn w:val="Tipodeletrapredefinidodopargrafo"/>
    <w:link w:val="Textosimples"/>
    <w:uiPriority w:val="99"/>
    <w:rsid w:val="00A65C14"/>
    <w:rPr>
      <w:rFonts w:ascii="Calibri" w:hAnsi="Calibri"/>
      <w:szCs w:val="21"/>
    </w:rPr>
  </w:style>
  <w:style w:type="character" w:styleId="Refdecomentrio">
    <w:name w:val="annotation reference"/>
    <w:basedOn w:val="Tipodeletrapredefinidodopargrafo"/>
    <w:uiPriority w:val="99"/>
    <w:unhideWhenUsed/>
    <w:rsid w:val="00341A67"/>
    <w:rPr>
      <w:sz w:val="16"/>
      <w:szCs w:val="16"/>
    </w:rPr>
  </w:style>
  <w:style w:type="paragraph" w:styleId="Textodecomentrio">
    <w:name w:val="annotation text"/>
    <w:basedOn w:val="Normal"/>
    <w:link w:val="TextodecomentrioCarcter"/>
    <w:uiPriority w:val="99"/>
    <w:unhideWhenUsed/>
    <w:rsid w:val="00341A67"/>
    <w:rPr>
      <w:sz w:val="20"/>
      <w:szCs w:val="20"/>
    </w:rPr>
  </w:style>
  <w:style w:type="character" w:customStyle="1" w:styleId="TextodecomentrioCarcter">
    <w:name w:val="Texto de comentário Carácter"/>
    <w:basedOn w:val="Tipodeletrapredefinidodopargrafo"/>
    <w:link w:val="Textodecomentrio"/>
    <w:uiPriority w:val="99"/>
    <w:rsid w:val="00341A67"/>
    <w:rPr>
      <w:rFonts w:ascii="Times New Roman" w:eastAsia="Times New Roman" w:hAnsi="Times New Roman" w:cs="Times New Roman"/>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341A67"/>
    <w:rPr>
      <w:b/>
      <w:bCs/>
    </w:rPr>
  </w:style>
  <w:style w:type="character" w:customStyle="1" w:styleId="AssuntodecomentrioCarcter">
    <w:name w:val="Assunto de comentário Carácter"/>
    <w:basedOn w:val="TextodecomentrioCarcter"/>
    <w:link w:val="Assuntodecomentrio"/>
    <w:uiPriority w:val="99"/>
    <w:semiHidden/>
    <w:rsid w:val="00341A67"/>
    <w:rPr>
      <w:rFonts w:ascii="Times New Roman" w:eastAsia="Times New Roman" w:hAnsi="Times New Roman" w:cs="Times New Roman"/>
      <w:b/>
      <w:bCs/>
      <w:sz w:val="20"/>
      <w:szCs w:val="20"/>
      <w:lang w:val="en-GB"/>
    </w:rPr>
  </w:style>
  <w:style w:type="character" w:styleId="Refdenotaderodap">
    <w:name w:val="footnote reference"/>
    <w:aliases w:val="Footnote Refernece,Footnote Refernece + (Latein) Arial,10 pt,Blau,Footnote symbol,Footnote reference number,note TESI,nota pié di pagina,Footnote Reference Superscript,Footnotes refss,Appel note de bas de p.,callout,4_G,BVI fnr,FR"/>
    <w:basedOn w:val="Tipodeletrapredefinidodopargrafo"/>
    <w:uiPriority w:val="99"/>
    <w:rsid w:val="00895E10"/>
    <w:rPr>
      <w:vertAlign w:val="superscript"/>
    </w:rPr>
  </w:style>
  <w:style w:type="paragraph" w:styleId="Textodenotaderodap">
    <w:name w:val="footnote text"/>
    <w:aliases w:val="Voetnoottekst Maarten,footnotes,Footnote Text Char2 Char,Footnote Text Char Char1 Char,Footnote Text Char2 Char Char Char,Footnote Text Char1 Char Char Char Char,Footnote Text Char Char Char Char Char Char,Fußnotentext RAXEN,fn"/>
    <w:basedOn w:val="Normal"/>
    <w:link w:val="TextodenotaderodapCarcter"/>
    <w:uiPriority w:val="99"/>
    <w:unhideWhenUsed/>
    <w:qFormat/>
    <w:rsid w:val="00895E10"/>
    <w:rPr>
      <w:rFonts w:asciiTheme="minorHAnsi" w:eastAsiaTheme="minorHAnsi" w:hAnsiTheme="minorHAnsi" w:cstheme="minorBidi"/>
      <w:sz w:val="20"/>
      <w:szCs w:val="20"/>
    </w:rPr>
  </w:style>
  <w:style w:type="character" w:customStyle="1" w:styleId="FootnoteTextChar">
    <w:name w:val="Footnote Text Char"/>
    <w:basedOn w:val="Tipodeletrapredefinidodopargrafo"/>
    <w:uiPriority w:val="99"/>
    <w:semiHidden/>
    <w:rsid w:val="00895E10"/>
    <w:rPr>
      <w:rFonts w:ascii="Times New Roman" w:eastAsia="Times New Roman" w:hAnsi="Times New Roman" w:cs="Times New Roman"/>
      <w:sz w:val="20"/>
      <w:szCs w:val="20"/>
      <w:lang w:val="en-GB"/>
    </w:rPr>
  </w:style>
  <w:style w:type="character" w:customStyle="1" w:styleId="TextodenotaderodapCarcter">
    <w:name w:val="Texto de nota de rodapé Carácter"/>
    <w:aliases w:val="Voetnoottekst Maarten Carácter,footnotes Carácter,Footnote Text Char2 Char Carácter,Footnote Text Char Char1 Char Carácter,Footnote Text Char2 Char Char Char Carácter,Footnote Text Char1 Char Char Char Char Carácter"/>
    <w:basedOn w:val="Tipodeletrapredefinidodopargrafo"/>
    <w:link w:val="Textodenotaderodap"/>
    <w:uiPriority w:val="99"/>
    <w:rsid w:val="00895E10"/>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1F"/>
    <w:pPr>
      <w:spacing w:after="0" w:line="240" w:lineRule="auto"/>
    </w:pPr>
    <w:rPr>
      <w:rFonts w:ascii="Times New Roman" w:eastAsia="Times New Roman" w:hAnsi="Times New Roman" w:cs="Times New Roman"/>
      <w:sz w:val="24"/>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ABodyText">
    <w:name w:val="(FRA) Body Text"/>
    <w:basedOn w:val="Normal"/>
    <w:rsid w:val="001F1F1F"/>
    <w:pPr>
      <w:numPr>
        <w:numId w:val="1"/>
      </w:numPr>
      <w:spacing w:after="240"/>
      <w:ind w:right="46"/>
      <w:jc w:val="both"/>
    </w:pPr>
    <w:rPr>
      <w:rFonts w:eastAsia="Calibri"/>
      <w:sz w:val="22"/>
      <w:szCs w:val="22"/>
      <w:lang w:bidi="en-US"/>
    </w:rPr>
  </w:style>
  <w:style w:type="paragraph" w:customStyle="1" w:styleId="FRAHeading2">
    <w:name w:val="(FRA) Heading 2"/>
    <w:basedOn w:val="Normal"/>
    <w:next w:val="FRABodyText"/>
    <w:qFormat/>
    <w:rsid w:val="001F1F1F"/>
    <w:pPr>
      <w:keepNext/>
      <w:numPr>
        <w:ilvl w:val="1"/>
        <w:numId w:val="2"/>
      </w:numPr>
      <w:tabs>
        <w:tab w:val="left" w:pos="1134"/>
      </w:tabs>
      <w:spacing w:before="480" w:after="240"/>
      <w:ind w:left="1134" w:hanging="1134"/>
    </w:pPr>
    <w:rPr>
      <w:rFonts w:ascii="Arial Narrow" w:eastAsia="SimSun" w:hAnsi="Arial Narrow"/>
      <w:sz w:val="40"/>
      <w:lang w:eastAsia="zh-CN"/>
    </w:rPr>
  </w:style>
  <w:style w:type="paragraph" w:styleId="Rodap">
    <w:name w:val="footer"/>
    <w:basedOn w:val="Normal"/>
    <w:link w:val="RodapCarcter"/>
    <w:uiPriority w:val="99"/>
    <w:rsid w:val="001F1F1F"/>
    <w:pPr>
      <w:tabs>
        <w:tab w:val="center" w:pos="4320"/>
        <w:tab w:val="right" w:pos="8640"/>
      </w:tabs>
    </w:pPr>
  </w:style>
  <w:style w:type="character" w:customStyle="1" w:styleId="RodapCarcter">
    <w:name w:val="Rodapé Carácter"/>
    <w:basedOn w:val="Tipodeletrapredefinidodopargrafo"/>
    <w:link w:val="Rodap"/>
    <w:uiPriority w:val="99"/>
    <w:rsid w:val="001F1F1F"/>
    <w:rPr>
      <w:rFonts w:ascii="Times New Roman" w:eastAsia="Times New Roman" w:hAnsi="Times New Roman" w:cs="Times New Roman"/>
      <w:sz w:val="24"/>
      <w:szCs w:val="24"/>
      <w:lang w:val="en-GB"/>
    </w:rPr>
  </w:style>
  <w:style w:type="character" w:styleId="Hiperligao">
    <w:name w:val="Hyperlink"/>
    <w:uiPriority w:val="99"/>
    <w:rsid w:val="001F1F1F"/>
    <w:rPr>
      <w:color w:val="0000FF"/>
      <w:u w:val="single"/>
    </w:rPr>
  </w:style>
  <w:style w:type="character" w:styleId="Nmerodepgina">
    <w:name w:val="page number"/>
    <w:basedOn w:val="Tipodeletrapredefinidodopargrafo"/>
    <w:rsid w:val="001F1F1F"/>
  </w:style>
  <w:style w:type="paragraph" w:customStyle="1" w:styleId="Bluebar">
    <w:name w:val="Blue bar"/>
    <w:basedOn w:val="Normal"/>
    <w:rsid w:val="001F1F1F"/>
    <w:pPr>
      <w:shd w:val="clear" w:color="auto" w:fill="012878"/>
      <w:spacing w:before="240" w:after="120"/>
      <w:jc w:val="center"/>
    </w:pPr>
    <w:rPr>
      <w:rFonts w:ascii="Arial" w:hAnsi="Arial"/>
      <w:b/>
      <w:color w:val="FFD300"/>
      <w:sz w:val="28"/>
    </w:rPr>
  </w:style>
  <w:style w:type="paragraph" w:customStyle="1" w:styleId="StyleHeading3ArialLightBlue">
    <w:name w:val="Style Heading 3 + Arial Light Blue"/>
    <w:basedOn w:val="Normal"/>
    <w:next w:val="Normal"/>
    <w:rsid w:val="001F1F1F"/>
    <w:pPr>
      <w:autoSpaceDE w:val="0"/>
      <w:autoSpaceDN w:val="0"/>
      <w:adjustRightInd w:val="0"/>
    </w:pPr>
    <w:rPr>
      <w:rFonts w:ascii="Arial" w:hAnsi="Arial"/>
      <w:lang w:val="en-US"/>
    </w:rPr>
  </w:style>
  <w:style w:type="paragraph" w:customStyle="1" w:styleId="embargo">
    <w:name w:val="embargo"/>
    <w:basedOn w:val="Normal"/>
    <w:qFormat/>
    <w:rsid w:val="001F1F1F"/>
    <w:pPr>
      <w:spacing w:after="200" w:line="276" w:lineRule="auto"/>
      <w:jc w:val="center"/>
    </w:pPr>
    <w:rPr>
      <w:rFonts w:ascii="Arial" w:eastAsia="Calibri" w:hAnsi="Arial" w:cs="Arial"/>
      <w:b/>
      <w:color w:val="FF0000"/>
      <w:sz w:val="28"/>
      <w:szCs w:val="28"/>
    </w:rPr>
  </w:style>
  <w:style w:type="paragraph" w:styleId="Textodebalo">
    <w:name w:val="Balloon Text"/>
    <w:basedOn w:val="Normal"/>
    <w:link w:val="TextodebaloCarcter"/>
    <w:uiPriority w:val="99"/>
    <w:semiHidden/>
    <w:unhideWhenUsed/>
    <w:rsid w:val="001F1F1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F1F1F"/>
    <w:rPr>
      <w:rFonts w:ascii="Tahoma" w:eastAsia="Times New Roman" w:hAnsi="Tahoma" w:cs="Tahoma"/>
      <w:sz w:val="16"/>
      <w:szCs w:val="16"/>
      <w:lang w:val="en-GB"/>
    </w:rPr>
  </w:style>
  <w:style w:type="paragraph" w:styleId="PargrafodaLista">
    <w:name w:val="List Paragraph"/>
    <w:basedOn w:val="Normal"/>
    <w:uiPriority w:val="99"/>
    <w:qFormat/>
    <w:rsid w:val="001F1F1F"/>
    <w:pPr>
      <w:ind w:left="720"/>
      <w:contextualSpacing/>
    </w:pPr>
  </w:style>
  <w:style w:type="paragraph" w:styleId="Cabealho">
    <w:name w:val="header"/>
    <w:basedOn w:val="Normal"/>
    <w:link w:val="CabealhoCarcter"/>
    <w:uiPriority w:val="99"/>
    <w:unhideWhenUsed/>
    <w:rsid w:val="00EE36AA"/>
    <w:pPr>
      <w:tabs>
        <w:tab w:val="center" w:pos="4513"/>
        <w:tab w:val="right" w:pos="9026"/>
      </w:tabs>
    </w:pPr>
  </w:style>
  <w:style w:type="character" w:customStyle="1" w:styleId="CabealhoCarcter">
    <w:name w:val="Cabeçalho Carácter"/>
    <w:basedOn w:val="Tipodeletrapredefinidodopargrafo"/>
    <w:link w:val="Cabealho"/>
    <w:uiPriority w:val="99"/>
    <w:rsid w:val="00EE36AA"/>
    <w:rPr>
      <w:rFonts w:ascii="Times New Roman" w:eastAsia="Times New Roman" w:hAnsi="Times New Roman" w:cs="Times New Roman"/>
      <w:sz w:val="24"/>
      <w:szCs w:val="24"/>
      <w:lang w:val="en-GB"/>
    </w:rPr>
  </w:style>
  <w:style w:type="paragraph" w:styleId="Textosimples">
    <w:name w:val="Plain Text"/>
    <w:basedOn w:val="Normal"/>
    <w:link w:val="TextosimplesCarcter"/>
    <w:uiPriority w:val="99"/>
    <w:unhideWhenUsed/>
    <w:rsid w:val="00A65C14"/>
    <w:rPr>
      <w:rFonts w:ascii="Calibri" w:eastAsiaTheme="minorHAnsi" w:hAnsi="Calibri" w:cstheme="minorBidi"/>
      <w:sz w:val="22"/>
      <w:szCs w:val="21"/>
      <w:lang w:val="en-IE"/>
    </w:rPr>
  </w:style>
  <w:style w:type="character" w:customStyle="1" w:styleId="TextosimplesCarcter">
    <w:name w:val="Texto simples Carácter"/>
    <w:basedOn w:val="Tipodeletrapredefinidodopargrafo"/>
    <w:link w:val="Textosimples"/>
    <w:uiPriority w:val="99"/>
    <w:rsid w:val="00A65C14"/>
    <w:rPr>
      <w:rFonts w:ascii="Calibri" w:hAnsi="Calibri"/>
      <w:szCs w:val="21"/>
    </w:rPr>
  </w:style>
  <w:style w:type="character" w:styleId="Refdecomentrio">
    <w:name w:val="annotation reference"/>
    <w:basedOn w:val="Tipodeletrapredefinidodopargrafo"/>
    <w:uiPriority w:val="99"/>
    <w:unhideWhenUsed/>
    <w:rsid w:val="00341A67"/>
    <w:rPr>
      <w:sz w:val="16"/>
      <w:szCs w:val="16"/>
    </w:rPr>
  </w:style>
  <w:style w:type="paragraph" w:styleId="Textodecomentrio">
    <w:name w:val="annotation text"/>
    <w:basedOn w:val="Normal"/>
    <w:link w:val="TextodecomentrioCarcter"/>
    <w:uiPriority w:val="99"/>
    <w:unhideWhenUsed/>
    <w:rsid w:val="00341A67"/>
    <w:rPr>
      <w:sz w:val="20"/>
      <w:szCs w:val="20"/>
    </w:rPr>
  </w:style>
  <w:style w:type="character" w:customStyle="1" w:styleId="TextodecomentrioCarcter">
    <w:name w:val="Texto de comentário Carácter"/>
    <w:basedOn w:val="Tipodeletrapredefinidodopargrafo"/>
    <w:link w:val="Textodecomentrio"/>
    <w:uiPriority w:val="99"/>
    <w:rsid w:val="00341A67"/>
    <w:rPr>
      <w:rFonts w:ascii="Times New Roman" w:eastAsia="Times New Roman" w:hAnsi="Times New Roman" w:cs="Times New Roman"/>
      <w:sz w:val="20"/>
      <w:szCs w:val="20"/>
      <w:lang w:val="en-GB"/>
    </w:rPr>
  </w:style>
  <w:style w:type="paragraph" w:styleId="Assuntodecomentrio">
    <w:name w:val="annotation subject"/>
    <w:basedOn w:val="Textodecomentrio"/>
    <w:next w:val="Textodecomentrio"/>
    <w:link w:val="AssuntodecomentrioCarcter"/>
    <w:uiPriority w:val="99"/>
    <w:semiHidden/>
    <w:unhideWhenUsed/>
    <w:rsid w:val="00341A67"/>
    <w:rPr>
      <w:b/>
      <w:bCs/>
    </w:rPr>
  </w:style>
  <w:style w:type="character" w:customStyle="1" w:styleId="AssuntodecomentrioCarcter">
    <w:name w:val="Assunto de comentário Carácter"/>
    <w:basedOn w:val="TextodecomentrioCarcter"/>
    <w:link w:val="Assuntodecomentrio"/>
    <w:uiPriority w:val="99"/>
    <w:semiHidden/>
    <w:rsid w:val="00341A67"/>
    <w:rPr>
      <w:rFonts w:ascii="Times New Roman" w:eastAsia="Times New Roman" w:hAnsi="Times New Roman" w:cs="Times New Roman"/>
      <w:b/>
      <w:bCs/>
      <w:sz w:val="20"/>
      <w:szCs w:val="20"/>
      <w:lang w:val="en-GB"/>
    </w:rPr>
  </w:style>
  <w:style w:type="character" w:styleId="Refdenotaderodap">
    <w:name w:val="footnote reference"/>
    <w:aliases w:val="Footnote Refernece,Footnote Refernece + (Latein) Arial,10 pt,Blau,Footnote symbol,Footnote reference number,note TESI,nota pié di pagina,Footnote Reference Superscript,Footnotes refss,Appel note de bas de p.,callout,4_G,BVI fnr,FR"/>
    <w:basedOn w:val="Tipodeletrapredefinidodopargrafo"/>
    <w:uiPriority w:val="99"/>
    <w:rsid w:val="00895E10"/>
    <w:rPr>
      <w:vertAlign w:val="superscript"/>
    </w:rPr>
  </w:style>
  <w:style w:type="paragraph" w:styleId="Textodenotaderodap">
    <w:name w:val="footnote text"/>
    <w:aliases w:val="Voetnoottekst Maarten,footnotes,Footnote Text Char2 Char,Footnote Text Char Char1 Char,Footnote Text Char2 Char Char Char,Footnote Text Char1 Char Char Char Char,Footnote Text Char Char Char Char Char Char,Fußnotentext RAXEN,fn"/>
    <w:basedOn w:val="Normal"/>
    <w:link w:val="TextodenotaderodapCarcter"/>
    <w:uiPriority w:val="99"/>
    <w:unhideWhenUsed/>
    <w:qFormat/>
    <w:rsid w:val="00895E10"/>
    <w:rPr>
      <w:rFonts w:asciiTheme="minorHAnsi" w:eastAsiaTheme="minorHAnsi" w:hAnsiTheme="minorHAnsi" w:cstheme="minorBidi"/>
      <w:sz w:val="20"/>
      <w:szCs w:val="20"/>
    </w:rPr>
  </w:style>
  <w:style w:type="character" w:customStyle="1" w:styleId="FootnoteTextChar">
    <w:name w:val="Footnote Text Char"/>
    <w:basedOn w:val="Tipodeletrapredefinidodopargrafo"/>
    <w:uiPriority w:val="99"/>
    <w:semiHidden/>
    <w:rsid w:val="00895E10"/>
    <w:rPr>
      <w:rFonts w:ascii="Times New Roman" w:eastAsia="Times New Roman" w:hAnsi="Times New Roman" w:cs="Times New Roman"/>
      <w:sz w:val="20"/>
      <w:szCs w:val="20"/>
      <w:lang w:val="en-GB"/>
    </w:rPr>
  </w:style>
  <w:style w:type="character" w:customStyle="1" w:styleId="TextodenotaderodapCarcter">
    <w:name w:val="Texto de nota de rodapé Carácter"/>
    <w:aliases w:val="Voetnoottekst Maarten Carácter,footnotes Carácter,Footnote Text Char2 Char Carácter,Footnote Text Char Char1 Char Carácter,Footnote Text Char2 Char Char Char Carácter,Footnote Text Char1 Char Char Char Char Carácter"/>
    <w:basedOn w:val="Tipodeletrapredefinidodopargrafo"/>
    <w:link w:val="Textodenotaderodap"/>
    <w:uiPriority w:val="99"/>
    <w:rsid w:val="00895E10"/>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738">
      <w:bodyDiv w:val="1"/>
      <w:marLeft w:val="0"/>
      <w:marRight w:val="0"/>
      <w:marTop w:val="0"/>
      <w:marBottom w:val="0"/>
      <w:divBdr>
        <w:top w:val="none" w:sz="0" w:space="0" w:color="auto"/>
        <w:left w:val="none" w:sz="0" w:space="0" w:color="auto"/>
        <w:bottom w:val="none" w:sz="0" w:space="0" w:color="auto"/>
        <w:right w:val="none" w:sz="0" w:space="0" w:color="auto"/>
      </w:divBdr>
    </w:div>
    <w:div w:id="1705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fra.europa.eu/en/theme/information-society-privacy-and-data-protec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fra.europa.eu/en/publication/2014/access-data-protection-remedies-eu-member-states" TargetMode="External"/><Relationship Id="rId2" Type="http://schemas.openxmlformats.org/officeDocument/2006/relationships/customXml" Target="../customXml/item2.xml"/><Relationship Id="rId16" Type="http://schemas.openxmlformats.org/officeDocument/2006/relationships/hyperlink" Target="http://fra.europa.eu/en/publication/2015/surveillance-intelligence-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media@fra.europa.e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BASE_COR" ma:contentTypeID="0x01010067AD7CD5C461412DBD5AECDF4DD01DD000C0CD4D2585974D42B5CE8F2431434F40007CD47FADBE184FA1BBC5F27C0657D0650042B0A58FF82B744AB25A18A34D4EC865" ma:contentTypeVersion="15" ma:contentTypeDescription="" ma:contentTypeScope="" ma:versionID="301a1986c89586edb51abb999f60f06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adfbdf511aeb6992986ef9c597ad72f6"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CorCtTax"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CorCtTax" ma:index="22" nillable="true" ma:taxonomy="true" ma:internalName="fraCorCtTax" ma:taxonomyFieldName="fraCorCt" ma:displayName="Cor CT" ma:default="" ma:fieldId="{d8db5030-b492-4920-8457-f3180a292acc}" ma:sspId="72f02d29-08ed-4ba3-8631-04ec787fba6c" ma:termSetId="5efbb1f2-3c9d-4e54-9b89-ee3c700a4898" ma:anchorId="00000000-0000-0000-0000-000000000000" ma:open="tru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2f02d29-08ed-4ba3-8631-04ec787fba6c" ContentTypeId="0x01010067AD7CD5C461412DBD5AECDF4DD01DD000C0CD4D2585974D42B5CE8F2431434F40007CD47FADBE184FA1BBC5F27C0657D065" PreviousValue="false"/>
</file>

<file path=customXml/item5.xml><?xml version="1.0" encoding="utf-8"?>
<p:properties xmlns:p="http://schemas.microsoft.com/office/2006/metadata/properties" xmlns:xsi="http://www.w3.org/2001/XMLSchema-instance" xmlns:pc="http://schemas.microsoft.com/office/infopath/2007/PartnerControls">
  <documentManagement>
    <fraPermissions xmlns="200fed6a-fac6-4054-bdd4-71a44c395734">All: Read and write for all</fraPermissions>
    <fraNotifyUsers xmlns="200fed6a-fac6-4054-bdd4-71a44c395734">
      <UserInfo>
        <DisplayName/>
        <AccountId xsi:nil="true"/>
        <AccountType/>
      </UserInfo>
    </fraNotifyUsers>
    <RelatedItem xmlns="200fed6a-fac6-4054-bdd4-71a44c395734" xsi:nil="true"/>
    <TaxCatchAll xmlns="200fed6a-fac6-4054-bdd4-71a44c395734">
      <Value>11</Value>
      <Value>7570</Value>
      <Value>3055</Value>
      <Value>3480</Value>
    </TaxCatchAll>
    <fraCorCtTax xmlns="16097700-bd0a-4b4b-83d5-90842b5175e0">
      <Terms xmlns="http://schemas.microsoft.com/office/infopath/2007/PartnerControls"/>
    </fraCorCtTax>
    <_dlc_DocId xmlns="16097700-bd0a-4b4b-83d5-90842b5175e0">D-2015-76860</_dlc_DocId>
    <_dlc_DocIdUrl xmlns="16097700-bd0a-4b4b-83d5-90842b5175e0">
      <Url>http://dms/cor/_layouts/15/DocIdRedir.aspx?ID=D-2015-76860</Url>
      <Description>D-2015-76860</Description>
    </_dlc_DocIdUrl>
    <fraClassification xmlns="16097700-bd0a-4b4b-83d5-90842b5175e0">Public</fraClassification>
  </documentManagement>
</p:properties>
</file>

<file path=customXml/item6.xml><?xml version="1.0" encoding="utf-8"?>
<?mso-contentType ?>
<ContentTypeConfiguration xmlns:i="http://www.w3.org/2001/XMLSchema-instance" xmlns="http://schemas.com/sharepoint/v4/contenttype/eworx">
  <VirtualGroup>COR (new)</VirtualGroup>
</ContentTypeConfiguratio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0F69-0CD3-483B-977C-A2C9A18C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25EDA-E449-4FEF-824D-748DFB14B652}">
  <ds:schemaRefs>
    <ds:schemaRef ds:uri="http://schemas.microsoft.com/sharepoint/v3/contenttype/forms"/>
  </ds:schemaRefs>
</ds:datastoreItem>
</file>

<file path=customXml/itemProps3.xml><?xml version="1.0" encoding="utf-8"?>
<ds:datastoreItem xmlns:ds="http://schemas.openxmlformats.org/officeDocument/2006/customXml" ds:itemID="{30231A83-7D4D-433F-8510-703B654289F6}">
  <ds:schemaRefs>
    <ds:schemaRef ds:uri="http://schemas.microsoft.com/sharepoint/events"/>
  </ds:schemaRefs>
</ds:datastoreItem>
</file>

<file path=customXml/itemProps4.xml><?xml version="1.0" encoding="utf-8"?>
<ds:datastoreItem xmlns:ds="http://schemas.openxmlformats.org/officeDocument/2006/customXml" ds:itemID="{5A6D072A-846B-4C83-A89F-0677AAB40397}">
  <ds:schemaRefs>
    <ds:schemaRef ds:uri="Microsoft.SharePoint.Taxonomy.ContentTypeSync"/>
  </ds:schemaRefs>
</ds:datastoreItem>
</file>

<file path=customXml/itemProps5.xml><?xml version="1.0" encoding="utf-8"?>
<ds:datastoreItem xmlns:ds="http://schemas.openxmlformats.org/officeDocument/2006/customXml" ds:itemID="{30AD213B-7D1B-4862-9046-E5A926BA95D2}">
  <ds:schemaRefs>
    <ds:schemaRef ds:uri="http://schemas.microsoft.com/office/2006/metadata/properties"/>
    <ds:schemaRef ds:uri="http://schemas.microsoft.com/office/infopath/2007/PartnerControls"/>
    <ds:schemaRef ds:uri="200fed6a-fac6-4054-bdd4-71a44c395734"/>
    <ds:schemaRef ds:uri="16097700-bd0a-4b4b-83d5-90842b5175e0"/>
  </ds:schemaRefs>
</ds:datastoreItem>
</file>

<file path=customXml/itemProps6.xml><?xml version="1.0" encoding="utf-8"?>
<ds:datastoreItem xmlns:ds="http://schemas.openxmlformats.org/officeDocument/2006/customXml" ds:itemID="{68DB858E-F432-4182-AFBF-22C29937B68D}">
  <ds:schemaRefs>
    <ds:schemaRef ds:uri="http://schemas.com/sharepoint/v4/contenttype/eworx"/>
  </ds:schemaRefs>
</ds:datastoreItem>
</file>

<file path=customXml/itemProps7.xml><?xml version="1.0" encoding="utf-8"?>
<ds:datastoreItem xmlns:ds="http://schemas.openxmlformats.org/officeDocument/2006/customXml" ds:itemID="{9B0FF6C0-00D0-43CE-979F-2CFFEB19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memo-2015-surveillance_en.docx</vt:lpstr>
    </vt:vector>
  </TitlesOfParts>
  <Company>European Union Fundamental Rights Agency</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memo-2015-surveillance_en.docx</dc:title>
  <dc:creator>ANDRUSZ Katya (FRA)</dc:creator>
  <cp:lastModifiedBy>Sandra Soares</cp:lastModifiedBy>
  <cp:revision>5</cp:revision>
  <dcterms:created xsi:type="dcterms:W3CDTF">2015-11-11T17:49:00Z</dcterms:created>
  <dcterms:modified xsi:type="dcterms:W3CDTF">2015-11-27T11:34:00Z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0x01010067AD7CD5C461412DBD5AECDF4DD01DD000C0CD4D2585974D42B5CE8F2431434F40007CD47FADBE184FA1BBC5F27C0657D0650042B0A58FF82B744AB25A18A34D4EC865</vt:lpwstr>
  </property>
  <property fmtid="{D5CDD505-2E9C-101B-9397-08002B2CF9AE}" pid="3" name="fraDepartmentSiteMM">
    <vt:lpwstr>3055;#Communications and Outreach Department|a7679a92-0fe9-43d0-a7c0-bcebb5eaa6ab</vt:lpwstr>
  </property>
  <property fmtid="{D5CDD505-2E9C-101B-9397-08002B2CF9AE}" pid="4" name="p7f1c324123540189b9acbfd4c3c0c9f">
    <vt:lpwstr>Communications and Outreach Department|a7679a92-0fe9-43d0-a7c0-bcebb5eaa6ab</vt:lpwstr>
  </property>
  <property fmtid="{D5CDD505-2E9C-101B-9397-08002B2CF9AE}" pid="5" name="fraContentLanguageMM">
    <vt:lpwstr>11;#English|2d2b19a9-1f9f-48bb-ac48-c1a45d7d0217</vt:lpwstr>
  </property>
  <property fmtid="{D5CDD505-2E9C-101B-9397-08002B2CF9AE}" pid="6" name="mea2126e36834a0eb3415250650cf607">
    <vt:lpwstr>English|2d2b19a9-1f9f-48bb-ac48-c1a45d7d0217</vt:lpwstr>
  </property>
  <property fmtid="{D5CDD505-2E9C-101B-9397-08002B2CF9AE}" pid="7" name="fraYearMM">
    <vt:lpwstr>3480;#2015|53b3b927-5eeb-46d0-8279-148152b77313</vt:lpwstr>
  </property>
  <property fmtid="{D5CDD505-2E9C-101B-9397-08002B2CF9AE}" pid="8" name="i5ce7087b5204814a0029bd9f29ccc90">
    <vt:lpwstr>2015|53b3b927-5eeb-46d0-8279-148152b77313</vt:lpwstr>
  </property>
  <property fmtid="{D5CDD505-2E9C-101B-9397-08002B2CF9AE}" pid="9" name="_dlc_DocIdItemGuid">
    <vt:lpwstr>5f8827fe-252a-46c0-a913-8413945558b5</vt:lpwstr>
  </property>
  <property fmtid="{D5CDD505-2E9C-101B-9397-08002B2CF9AE}" pid="10" name="fraTeamSiteMM">
    <vt:lpwstr/>
  </property>
  <property fmtid="{D5CDD505-2E9C-101B-9397-08002B2CF9AE}" pid="11" name="fraTagsMM">
    <vt:lpwstr/>
  </property>
  <property fmtid="{D5CDD505-2E9C-101B-9397-08002B2CF9AE}" pid="12" name="fraCorCt">
    <vt:lpwstr/>
  </property>
  <property fmtid="{D5CDD505-2E9C-101B-9397-08002B2CF9AE}" pid="13" name="fraGroupByMM">
    <vt:lpwstr/>
  </property>
  <property fmtid="{D5CDD505-2E9C-101B-9397-08002B2CF9AE}" pid="14" name="mdeec99bc533490b81a6209a84eb0481">
    <vt:lpwstr/>
  </property>
  <property fmtid="{D5CDD505-2E9C-101B-9397-08002B2CF9AE}" pid="15" name="edfbbce1f2434830951aaf742da57400">
    <vt:lpwstr/>
  </property>
  <property fmtid="{D5CDD505-2E9C-101B-9397-08002B2CF9AE}" pid="16" name="a124740cd92e4dadad95111afe7812a8">
    <vt:lpwstr/>
  </property>
  <property fmtid="{D5CDD505-2E9C-101B-9397-08002B2CF9AE}" pid="17" name="o71ee79a4fd140c7933e84878fd431da">
    <vt:lpwstr>2014-FJ-19 - National intelligence authorities and surveillance in the EU: Fundamental rights safeguards and remedies|617bf51b-18c7-4e0a-aa53-98ece53ec3cf</vt:lpwstr>
  </property>
  <property fmtid="{D5CDD505-2E9C-101B-9397-08002B2CF9AE}" pid="18" name="fraMatrixProject">
    <vt:lpwstr>7570;#2014-FJ-19 - National intelligence authorities and surveillance in the EU: Fundamental rights safeguards and remedies|617bf51b-18c7-4e0a-aa53-98ece53ec3cf</vt:lpwstr>
  </property>
</Properties>
</file>